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37" w:rsidRDefault="00F43337" w:rsidP="00F43337">
      <w:pPr>
        <w:widowControl/>
        <w:adjustRightInd w:val="0"/>
        <w:snapToGrid w:val="0"/>
        <w:spacing w:line="500" w:lineRule="exact"/>
        <w:jc w:val="left"/>
        <w:rPr>
          <w:rFonts w:ascii="方正黑体_GBK" w:eastAsia="方正黑体_GBK" w:hAnsi="黑体" w:cs="黑体" w:hint="eastAsia"/>
          <w:snapToGrid w:val="0"/>
          <w:kern w:val="0"/>
          <w:sz w:val="32"/>
          <w:szCs w:val="32"/>
        </w:rPr>
      </w:pPr>
      <w:r>
        <w:rPr>
          <w:rFonts w:ascii="方正黑体_GBK" w:eastAsia="方正黑体_GBK" w:hAnsi="黑体" w:cs="黑体" w:hint="eastAsia"/>
          <w:snapToGrid w:val="0"/>
          <w:kern w:val="0"/>
          <w:sz w:val="32"/>
          <w:szCs w:val="32"/>
        </w:rPr>
        <w:t>附件1</w:t>
      </w:r>
    </w:p>
    <w:p w:rsidR="00F43337" w:rsidRDefault="00F43337" w:rsidP="00F43337">
      <w:pPr>
        <w:widowControl/>
        <w:adjustRightInd w:val="0"/>
        <w:snapToGrid w:val="0"/>
        <w:spacing w:line="500" w:lineRule="exact"/>
        <w:ind w:firstLineChars="200" w:firstLine="640"/>
        <w:jc w:val="left"/>
        <w:rPr>
          <w:rFonts w:ascii="方正黑体_GBK" w:eastAsia="方正黑体_GBK" w:hAnsi="黑体" w:cs="黑体" w:hint="eastAsia"/>
          <w:snapToGrid w:val="0"/>
          <w:kern w:val="0"/>
          <w:sz w:val="32"/>
          <w:szCs w:val="32"/>
        </w:rPr>
      </w:pPr>
    </w:p>
    <w:p w:rsidR="00F43337" w:rsidRDefault="00F43337" w:rsidP="00F43337">
      <w:pPr>
        <w:widowControl/>
        <w:adjustRightInd w:val="0"/>
        <w:snapToGrid w:val="0"/>
        <w:spacing w:line="500" w:lineRule="exact"/>
        <w:ind w:firstLineChars="100" w:firstLine="360"/>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广西壮族自治区民政领域轻微违法行为依法不予行政处罚事项清单（2023年版）</w:t>
      </w:r>
    </w:p>
    <w:p w:rsidR="00F43337" w:rsidRDefault="00F43337" w:rsidP="00F43337">
      <w:pPr>
        <w:widowControl/>
        <w:adjustRightInd w:val="0"/>
        <w:snapToGrid w:val="0"/>
        <w:spacing w:line="500" w:lineRule="exact"/>
        <w:ind w:firstLineChars="100" w:firstLine="360"/>
        <w:jc w:val="center"/>
        <w:rPr>
          <w:rFonts w:ascii="方正小标宋_GBK" w:eastAsia="方正小标宋_GBK" w:hAnsi="方正小标宋_GBK" w:cs="方正小标宋_GBK" w:hint="eastAsia"/>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1285"/>
        <w:gridCol w:w="3074"/>
        <w:gridCol w:w="3894"/>
        <w:gridCol w:w="3119"/>
        <w:gridCol w:w="1672"/>
      </w:tblGrid>
      <w:tr w:rsidR="00F43337" w:rsidTr="00723625">
        <w:trPr>
          <w:trHeight w:val="510"/>
          <w:jc w:val="center"/>
        </w:trPr>
        <w:tc>
          <w:tcPr>
            <w:tcW w:w="13788" w:type="dxa"/>
            <w:gridSpan w:val="6"/>
            <w:vAlign w:val="center"/>
          </w:tcPr>
          <w:p w:rsidR="00F43337" w:rsidRDefault="00F43337" w:rsidP="00723625">
            <w:pPr>
              <w:widowControl/>
              <w:adjustRightInd w:val="0"/>
              <w:snapToGrid w:val="0"/>
              <w:jc w:val="center"/>
              <w:textAlignment w:val="center"/>
              <w:rPr>
                <w:rFonts w:ascii="方正黑体_GBK" w:eastAsia="方正黑体_GBK" w:hAnsi="宋体" w:cs="黑体" w:hint="eastAsia"/>
                <w:bCs/>
                <w:color w:val="000000"/>
                <w:kern w:val="0"/>
                <w:sz w:val="21"/>
                <w:szCs w:val="21"/>
                <w:lang w:bidi="ar"/>
              </w:rPr>
            </w:pPr>
            <w:r>
              <w:rPr>
                <w:rFonts w:ascii="方正黑体_GBK" w:eastAsia="方正黑体_GBK" w:hAnsi="宋体" w:cs="黑体" w:hint="eastAsia"/>
                <w:bCs/>
                <w:color w:val="000000"/>
                <w:kern w:val="0"/>
                <w:sz w:val="21"/>
                <w:szCs w:val="21"/>
                <w:lang w:bidi="ar"/>
              </w:rPr>
              <w:t>一、下列违法行为轻微并及时改正，没有造成危害后果的，不予行政处罚（轻微不罚）</w:t>
            </w:r>
          </w:p>
        </w:tc>
      </w:tr>
      <w:tr w:rsidR="00F43337" w:rsidTr="00723625">
        <w:trPr>
          <w:trHeight w:val="510"/>
          <w:jc w:val="center"/>
        </w:trPr>
        <w:tc>
          <w:tcPr>
            <w:tcW w:w="744" w:type="dxa"/>
            <w:vAlign w:val="center"/>
          </w:tcPr>
          <w:p w:rsidR="00F43337" w:rsidRDefault="00F43337" w:rsidP="00723625">
            <w:pPr>
              <w:widowControl/>
              <w:adjustRightInd w:val="0"/>
              <w:snapToGrid w:val="0"/>
              <w:jc w:val="center"/>
              <w:textAlignment w:val="center"/>
              <w:rPr>
                <w:rFonts w:ascii="方正黑体_GBK" w:eastAsia="方正黑体_GBK" w:hAnsi="宋体" w:cs="黑体" w:hint="eastAsia"/>
                <w:bCs/>
                <w:color w:val="000000"/>
                <w:kern w:val="0"/>
                <w:sz w:val="21"/>
                <w:szCs w:val="21"/>
                <w:lang w:bidi="ar"/>
              </w:rPr>
            </w:pPr>
            <w:r>
              <w:rPr>
                <w:rFonts w:ascii="方正黑体_GBK" w:eastAsia="方正黑体_GBK" w:hAnsi="宋体" w:cs="黑体" w:hint="eastAsia"/>
                <w:bCs/>
                <w:color w:val="000000"/>
                <w:kern w:val="0"/>
                <w:sz w:val="21"/>
                <w:szCs w:val="21"/>
                <w:lang w:bidi="ar"/>
              </w:rPr>
              <w:t>序号</w:t>
            </w:r>
          </w:p>
        </w:tc>
        <w:tc>
          <w:tcPr>
            <w:tcW w:w="1285" w:type="dxa"/>
            <w:vAlign w:val="center"/>
          </w:tcPr>
          <w:p w:rsidR="00F43337" w:rsidRDefault="00F43337" w:rsidP="00723625">
            <w:pPr>
              <w:widowControl/>
              <w:adjustRightInd w:val="0"/>
              <w:snapToGrid w:val="0"/>
              <w:jc w:val="center"/>
              <w:textAlignment w:val="center"/>
              <w:rPr>
                <w:rFonts w:ascii="方正黑体_GBK" w:eastAsia="方正黑体_GBK" w:hAnsi="宋体" w:cs="黑体" w:hint="eastAsia"/>
                <w:bCs/>
                <w:color w:val="000000"/>
                <w:kern w:val="0"/>
                <w:sz w:val="21"/>
                <w:szCs w:val="21"/>
                <w:lang w:bidi="ar"/>
              </w:rPr>
            </w:pPr>
            <w:r>
              <w:rPr>
                <w:rFonts w:ascii="方正黑体_GBK" w:eastAsia="方正黑体_GBK" w:hAnsi="宋体" w:cs="黑体" w:hint="eastAsia"/>
                <w:bCs/>
                <w:color w:val="000000"/>
                <w:kern w:val="0"/>
                <w:sz w:val="21"/>
                <w:szCs w:val="21"/>
                <w:lang w:bidi="ar"/>
              </w:rPr>
              <w:t>违法事项</w:t>
            </w:r>
          </w:p>
        </w:tc>
        <w:tc>
          <w:tcPr>
            <w:tcW w:w="3074" w:type="dxa"/>
            <w:vAlign w:val="center"/>
          </w:tcPr>
          <w:p w:rsidR="00F43337" w:rsidRDefault="00F43337" w:rsidP="00723625">
            <w:pPr>
              <w:widowControl/>
              <w:adjustRightInd w:val="0"/>
              <w:snapToGrid w:val="0"/>
              <w:jc w:val="center"/>
              <w:textAlignment w:val="center"/>
              <w:rPr>
                <w:rFonts w:ascii="方正黑体_GBK" w:eastAsia="方正黑体_GBK" w:hAnsi="宋体" w:cs="黑体" w:hint="eastAsia"/>
                <w:bCs/>
                <w:color w:val="000000"/>
                <w:kern w:val="0"/>
                <w:sz w:val="21"/>
                <w:szCs w:val="21"/>
                <w:lang w:bidi="ar"/>
              </w:rPr>
            </w:pPr>
            <w:r>
              <w:rPr>
                <w:rFonts w:ascii="方正黑体_GBK" w:eastAsia="方正黑体_GBK" w:hAnsi="宋体" w:cs="黑体" w:hint="eastAsia"/>
                <w:bCs/>
                <w:color w:val="000000"/>
                <w:kern w:val="0"/>
                <w:sz w:val="21"/>
                <w:szCs w:val="21"/>
                <w:lang w:bidi="ar"/>
              </w:rPr>
              <w:t>法定依据</w:t>
            </w:r>
          </w:p>
        </w:tc>
        <w:tc>
          <w:tcPr>
            <w:tcW w:w="3894" w:type="dxa"/>
            <w:vAlign w:val="center"/>
          </w:tcPr>
          <w:p w:rsidR="00F43337" w:rsidRDefault="00F43337" w:rsidP="00723625">
            <w:pPr>
              <w:widowControl/>
              <w:adjustRightInd w:val="0"/>
              <w:snapToGrid w:val="0"/>
              <w:jc w:val="center"/>
              <w:textAlignment w:val="center"/>
              <w:rPr>
                <w:rFonts w:ascii="方正黑体_GBK" w:eastAsia="方正黑体_GBK" w:hAnsi="宋体" w:cs="黑体" w:hint="eastAsia"/>
                <w:bCs/>
                <w:color w:val="000000"/>
                <w:kern w:val="0"/>
                <w:sz w:val="21"/>
                <w:szCs w:val="21"/>
                <w:lang w:bidi="ar"/>
              </w:rPr>
            </w:pPr>
            <w:r>
              <w:rPr>
                <w:rFonts w:ascii="方正黑体_GBK" w:eastAsia="方正黑体_GBK" w:hAnsi="宋体" w:cs="黑体" w:hint="eastAsia"/>
                <w:bCs/>
                <w:color w:val="000000"/>
                <w:kern w:val="0"/>
                <w:sz w:val="21"/>
                <w:szCs w:val="21"/>
                <w:lang w:bidi="ar"/>
              </w:rPr>
              <w:t>不予处罚适用条件</w:t>
            </w:r>
          </w:p>
        </w:tc>
        <w:tc>
          <w:tcPr>
            <w:tcW w:w="3119" w:type="dxa"/>
            <w:vAlign w:val="center"/>
          </w:tcPr>
          <w:p w:rsidR="00F43337" w:rsidRDefault="00F43337" w:rsidP="00723625">
            <w:pPr>
              <w:widowControl/>
              <w:adjustRightInd w:val="0"/>
              <w:snapToGrid w:val="0"/>
              <w:jc w:val="center"/>
              <w:textAlignment w:val="center"/>
              <w:rPr>
                <w:rFonts w:ascii="方正黑体_GBK" w:eastAsia="方正黑体_GBK" w:hAnsi="宋体" w:cs="黑体" w:hint="eastAsia"/>
                <w:bCs/>
                <w:color w:val="000000"/>
                <w:kern w:val="0"/>
                <w:sz w:val="21"/>
                <w:szCs w:val="21"/>
                <w:lang w:bidi="ar"/>
              </w:rPr>
            </w:pPr>
            <w:r>
              <w:rPr>
                <w:rFonts w:ascii="方正黑体_GBK" w:eastAsia="方正黑体_GBK" w:hAnsi="宋体" w:cs="黑体" w:hint="eastAsia"/>
                <w:bCs/>
                <w:color w:val="000000"/>
                <w:kern w:val="0"/>
                <w:sz w:val="21"/>
                <w:szCs w:val="21"/>
                <w:lang w:bidi="ar"/>
              </w:rPr>
              <w:t>监管措施</w:t>
            </w:r>
          </w:p>
        </w:tc>
        <w:tc>
          <w:tcPr>
            <w:tcW w:w="1672" w:type="dxa"/>
            <w:vAlign w:val="center"/>
          </w:tcPr>
          <w:p w:rsidR="00F43337" w:rsidRDefault="00F43337" w:rsidP="00723625">
            <w:pPr>
              <w:widowControl/>
              <w:adjustRightInd w:val="0"/>
              <w:snapToGrid w:val="0"/>
              <w:jc w:val="center"/>
              <w:textAlignment w:val="center"/>
              <w:rPr>
                <w:rFonts w:ascii="方正黑体_GBK" w:eastAsia="方正黑体_GBK" w:hAnsi="宋体" w:cs="黑体" w:hint="eastAsia"/>
                <w:bCs/>
                <w:color w:val="000000"/>
                <w:kern w:val="0"/>
                <w:sz w:val="21"/>
                <w:szCs w:val="21"/>
                <w:lang w:bidi="ar"/>
              </w:rPr>
            </w:pPr>
            <w:r>
              <w:rPr>
                <w:rFonts w:ascii="方正黑体_GBK" w:eastAsia="方正黑体_GBK" w:hAnsi="宋体" w:cs="黑体" w:hint="eastAsia"/>
                <w:bCs/>
                <w:color w:val="000000"/>
                <w:kern w:val="0"/>
                <w:sz w:val="21"/>
                <w:szCs w:val="21"/>
                <w:lang w:bidi="ar"/>
              </w:rPr>
              <w:t>实施层级</w:t>
            </w:r>
          </w:p>
        </w:tc>
      </w:tr>
      <w:tr w:rsidR="00F43337" w:rsidTr="00723625">
        <w:trPr>
          <w:cantSplit/>
          <w:trHeight w:val="5739"/>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社会团体、民办非企业单位不按照规定办理变更登记。</w:t>
            </w:r>
          </w:p>
        </w:tc>
        <w:tc>
          <w:tcPr>
            <w:tcW w:w="3074" w:type="dxa"/>
            <w:vAlign w:val="center"/>
          </w:tcPr>
          <w:p w:rsidR="00F43337" w:rsidRDefault="00F43337" w:rsidP="00723625">
            <w:pPr>
              <w:widowControl/>
              <w:adjustRightInd w:val="0"/>
              <w:snapToGrid w:val="0"/>
              <w:ind w:firstLineChars="200" w:firstLine="360"/>
              <w:textAlignment w:val="center"/>
              <w:rPr>
                <w:rFonts w:eastAsia="方正仿宋_GBK" w:hint="eastAsia"/>
                <w:color w:val="000000"/>
                <w:kern w:val="0"/>
                <w:sz w:val="18"/>
                <w:szCs w:val="18"/>
                <w:lang w:bidi="ar"/>
              </w:rPr>
            </w:pPr>
            <w:r>
              <w:rPr>
                <w:rFonts w:eastAsia="方正仿宋_GBK"/>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社会团体登记管理条例》第三十条第一款第（四）项：社会团体有下列情形之一的，由登记管理机关给予警告，责令改正，可以限期停止活动，并可以责令撤换直接负责的主管人员；情节严重的，予以撤销登记；构成犯罪的，依法追究刑事责任：……（四）不按照规定办理变更登记的；……</w:t>
            </w:r>
          </w:p>
          <w:p w:rsidR="00F43337" w:rsidRDefault="00F43337" w:rsidP="00723625">
            <w:pPr>
              <w:widowControl/>
              <w:adjustRightInd w:val="0"/>
              <w:snapToGrid w:val="0"/>
              <w:ind w:firstLineChars="200"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民办非企业单位登记管理暂行条例》第二十五条第一款第（四）项：民办非企业单位有下列情形之一的，由登记管理机关予以警告，责令改正，可以限期停止活动；情节严重的，予以撤销登记；构成犯罪的，依法追究刑事责任：……（四）不按照规定办理变更登记的；……</w:t>
            </w:r>
          </w:p>
        </w:tc>
        <w:tc>
          <w:tcPr>
            <w:tcW w:w="3894" w:type="dxa"/>
            <w:vAlign w:val="center"/>
          </w:tcPr>
          <w:p w:rsidR="00F43337" w:rsidRDefault="00F43337" w:rsidP="00723625">
            <w:pPr>
              <w:pStyle w:val="a5"/>
              <w:widowControl/>
              <w:adjustRightInd w:val="0"/>
              <w:snapToGrid w:val="0"/>
              <w:ind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违法行为情节轻微；</w:t>
            </w:r>
          </w:p>
          <w:p w:rsidR="00F43337" w:rsidRDefault="00F43337" w:rsidP="00723625">
            <w:pPr>
              <w:pStyle w:val="a5"/>
              <w:widowControl/>
              <w:adjustRightInd w:val="0"/>
              <w:snapToGrid w:val="0"/>
              <w:ind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没有造成实际危害后果；</w:t>
            </w:r>
          </w:p>
          <w:p w:rsidR="00F43337" w:rsidRDefault="00F43337" w:rsidP="00723625">
            <w:pPr>
              <w:pStyle w:val="a5"/>
              <w:widowControl/>
              <w:adjustRightInd w:val="0"/>
              <w:snapToGrid w:val="0"/>
              <w:ind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违法行为持续的时间在</w:t>
            </w:r>
            <w:r>
              <w:rPr>
                <w:rFonts w:eastAsia="方正仿宋_GBK" w:hint="eastAsia"/>
                <w:color w:val="000000"/>
                <w:kern w:val="0"/>
                <w:sz w:val="18"/>
                <w:szCs w:val="18"/>
                <w:lang w:bidi="ar"/>
              </w:rPr>
              <w:t>1</w:t>
            </w:r>
            <w:r>
              <w:rPr>
                <w:rFonts w:eastAsia="方正仿宋_GBK" w:hint="eastAsia"/>
                <w:color w:val="000000"/>
                <w:kern w:val="0"/>
                <w:sz w:val="18"/>
                <w:szCs w:val="18"/>
                <w:lang w:bidi="ar"/>
              </w:rPr>
              <w:t>年（含）以下（</w:t>
            </w:r>
            <w:proofErr w:type="gramStart"/>
            <w:r>
              <w:rPr>
                <w:rFonts w:eastAsia="方正仿宋_GBK" w:hint="eastAsia"/>
                <w:color w:val="000000"/>
                <w:kern w:val="0"/>
                <w:sz w:val="18"/>
                <w:szCs w:val="18"/>
                <w:lang w:bidi="ar"/>
              </w:rPr>
              <w:t>从应当</w:t>
            </w:r>
            <w:proofErr w:type="gramEnd"/>
            <w:r>
              <w:rPr>
                <w:rFonts w:eastAsia="方正仿宋_GBK" w:hint="eastAsia"/>
                <w:color w:val="000000"/>
                <w:kern w:val="0"/>
                <w:sz w:val="18"/>
                <w:szCs w:val="18"/>
                <w:lang w:bidi="ar"/>
              </w:rPr>
              <w:t>办理变更登记之日起算）；</w:t>
            </w:r>
          </w:p>
          <w:p w:rsidR="00F43337" w:rsidRDefault="00F43337" w:rsidP="00723625">
            <w:pPr>
              <w:pStyle w:val="a5"/>
              <w:widowControl/>
              <w:adjustRightInd w:val="0"/>
              <w:snapToGrid w:val="0"/>
              <w:ind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违法行为调查过程中，不存在拒不接受执法部门调查处理、阻碍执法、煽动抗拒执法等妨碍执行公务的行为；</w:t>
            </w:r>
          </w:p>
          <w:p w:rsidR="00F43337" w:rsidRDefault="00F43337" w:rsidP="00723625">
            <w:pPr>
              <w:pStyle w:val="a5"/>
              <w:widowControl/>
              <w:adjustRightInd w:val="0"/>
              <w:snapToGrid w:val="0"/>
              <w:ind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违法行为未造成严重不良社会影响；</w:t>
            </w:r>
          </w:p>
          <w:p w:rsidR="00F43337" w:rsidRDefault="00F43337" w:rsidP="00723625">
            <w:pPr>
              <w:pStyle w:val="a5"/>
              <w:widowControl/>
              <w:adjustRightInd w:val="0"/>
              <w:snapToGrid w:val="0"/>
              <w:ind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7</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自治区、市、县级</w:t>
            </w:r>
          </w:p>
        </w:tc>
      </w:tr>
      <w:tr w:rsidR="00F43337" w:rsidTr="00723625">
        <w:trPr>
          <w:cantSplit/>
          <w:trHeight w:val="454"/>
          <w:jc w:val="center"/>
        </w:trPr>
        <w:tc>
          <w:tcPr>
            <w:tcW w:w="744"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lastRenderedPageBreak/>
              <w:t>序号</w:t>
            </w:r>
          </w:p>
        </w:tc>
        <w:tc>
          <w:tcPr>
            <w:tcW w:w="1285"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违法事项</w:t>
            </w:r>
          </w:p>
        </w:tc>
        <w:tc>
          <w:tcPr>
            <w:tcW w:w="3074" w:type="dxa"/>
            <w:vAlign w:val="center"/>
          </w:tcPr>
          <w:p w:rsidR="00F43337" w:rsidRDefault="00F43337" w:rsidP="00723625">
            <w:pPr>
              <w:widowControl/>
              <w:adjustRightInd w:val="0"/>
              <w:snapToGrid w:val="0"/>
              <w:ind w:left="44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法定依据</w:t>
            </w:r>
          </w:p>
        </w:tc>
        <w:tc>
          <w:tcPr>
            <w:tcW w:w="3894" w:type="dxa"/>
            <w:vAlign w:val="center"/>
          </w:tcPr>
          <w:p w:rsidR="00F43337" w:rsidRDefault="00F43337" w:rsidP="00723625">
            <w:pPr>
              <w:pStyle w:val="a5"/>
              <w:widowControl/>
              <w:adjustRightInd w:val="0"/>
              <w:snapToGrid w:val="0"/>
              <w:ind w:firstLineChars="0" w:firstLine="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不予处罚适用条件</w:t>
            </w:r>
          </w:p>
        </w:tc>
        <w:tc>
          <w:tcPr>
            <w:tcW w:w="3119" w:type="dxa"/>
            <w:vAlign w:val="center"/>
          </w:tcPr>
          <w:p w:rsidR="00F43337" w:rsidRDefault="00F43337" w:rsidP="00723625">
            <w:pPr>
              <w:pStyle w:val="a5"/>
              <w:widowControl/>
              <w:adjustRightInd w:val="0"/>
              <w:snapToGrid w:val="0"/>
              <w:ind w:firstLineChars="0" w:firstLine="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监管措施</w:t>
            </w:r>
          </w:p>
        </w:tc>
        <w:tc>
          <w:tcPr>
            <w:tcW w:w="1672"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实施层级</w:t>
            </w:r>
          </w:p>
        </w:tc>
      </w:tr>
      <w:tr w:rsidR="00F43337" w:rsidTr="00723625">
        <w:trPr>
          <w:cantSplit/>
          <w:trHeight w:val="2835"/>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慈善组织未按照慈善宗旨开展活动。</w:t>
            </w:r>
          </w:p>
        </w:tc>
        <w:tc>
          <w:tcPr>
            <w:tcW w:w="3074" w:type="dxa"/>
            <w:vAlign w:val="center"/>
          </w:tcPr>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《中华人民共和国慈善法》第九十八条第（一）项：慈善组织有下列情形之一的，由民政部门责令限期改正；逾期不改正的，吊销登记证书并予以公告</w:t>
            </w:r>
            <w:r>
              <w:rPr>
                <w:rFonts w:eastAsia="方正仿宋_GBK" w:hint="eastAsia"/>
                <w:color w:val="000000"/>
                <w:kern w:val="0"/>
                <w:sz w:val="18"/>
                <w:szCs w:val="18"/>
                <w:lang w:bidi="ar"/>
              </w:rPr>
              <w:t>:</w:t>
            </w:r>
            <w:r>
              <w:rPr>
                <w:rFonts w:eastAsia="方正仿宋_GBK" w:hint="eastAsia"/>
                <w:color w:val="000000"/>
                <w:kern w:val="0"/>
                <w:sz w:val="18"/>
                <w:szCs w:val="18"/>
                <w:lang w:bidi="ar"/>
              </w:rPr>
              <w:t>（一）未按照慈善宗旨开展活动的；……</w:t>
            </w:r>
          </w:p>
        </w:tc>
        <w:tc>
          <w:tcPr>
            <w:tcW w:w="3894"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违法行为情节轻微；</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没有造成实际危害后果；</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违法行为调查过程中，不存在拒不接受执法部门调查处理、阻碍执法、煽动抗拒执法等妨碍执行公务的行为；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违法行为未被媒体报道，且未造成严重不良社会影响；</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自治区、市、县级</w:t>
            </w:r>
          </w:p>
        </w:tc>
      </w:tr>
      <w:tr w:rsidR="00F43337" w:rsidTr="00723625">
        <w:trPr>
          <w:cantSplit/>
          <w:trHeight w:val="2835"/>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慈善组织未依法履行信息公开义务。</w:t>
            </w:r>
          </w:p>
        </w:tc>
        <w:tc>
          <w:tcPr>
            <w:tcW w:w="3074" w:type="dxa"/>
            <w:vAlign w:val="center"/>
          </w:tcPr>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《中华人民共和国慈善法》第九十九条第一款第（五）项：慈善组织有下列情形之一的，由民政部门予以警告、责令限期改正；逾期不改正的，责令限期停止活动并进行整改</w:t>
            </w:r>
            <w:r>
              <w:rPr>
                <w:rFonts w:eastAsia="方正仿宋_GBK" w:hint="eastAsia"/>
                <w:color w:val="000000"/>
                <w:kern w:val="0"/>
                <w:sz w:val="18"/>
                <w:szCs w:val="18"/>
                <w:lang w:bidi="ar"/>
              </w:rPr>
              <w:t>:</w:t>
            </w:r>
            <w:r>
              <w:rPr>
                <w:rFonts w:eastAsia="方正仿宋_GBK" w:hint="eastAsia"/>
                <w:color w:val="000000"/>
                <w:kern w:val="0"/>
                <w:sz w:val="18"/>
                <w:szCs w:val="18"/>
                <w:lang w:bidi="ar"/>
              </w:rPr>
              <w:t>……（五）未依法履行信息公开义务的；……</w:t>
            </w:r>
          </w:p>
        </w:tc>
        <w:tc>
          <w:tcPr>
            <w:tcW w:w="3894"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违法行为情节轻微；</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没有造成实际危害后果；</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违法行为调查过程中，不存在拒不接受执法部门调查处理、阻碍执法、煽动抗拒执法等妨碍执行公务的行为；</w:t>
            </w:r>
          </w:p>
          <w:p w:rsidR="00F43337" w:rsidRDefault="00F43337" w:rsidP="00723625">
            <w:pPr>
              <w:pStyle w:val="a5"/>
              <w:adjustRightInd w:val="0"/>
              <w:snapToGrid w:val="0"/>
              <w:ind w:firstLine="360"/>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违法行为未被媒体报道，且未造成严重不良社会影响；</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自治区、市、县级</w:t>
            </w:r>
          </w:p>
        </w:tc>
      </w:tr>
      <w:tr w:rsidR="00F43337" w:rsidTr="00723625">
        <w:trPr>
          <w:cantSplit/>
          <w:trHeight w:val="2835"/>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养老机构利用其房屋、场地、设施开展与养老服务宗旨无关活动。</w:t>
            </w:r>
          </w:p>
        </w:tc>
        <w:tc>
          <w:tcPr>
            <w:tcW w:w="3074" w:type="dxa"/>
            <w:vAlign w:val="center"/>
          </w:tcPr>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《养老机构管理办法》第四十六条第一款第（五）项：养老机构有下列行为之一的，由民政部门责令改正，给予警告；情节严重的，处以</w:t>
            </w:r>
            <w:r>
              <w:rPr>
                <w:rFonts w:eastAsia="方正仿宋_GBK" w:hint="eastAsia"/>
                <w:color w:val="000000"/>
                <w:kern w:val="0"/>
                <w:sz w:val="18"/>
                <w:szCs w:val="18"/>
                <w:lang w:bidi="ar"/>
              </w:rPr>
              <w:t>3</w:t>
            </w:r>
            <w:r>
              <w:rPr>
                <w:rFonts w:eastAsia="方正仿宋_GBK" w:hint="eastAsia"/>
                <w:color w:val="000000"/>
                <w:kern w:val="0"/>
                <w:sz w:val="18"/>
                <w:szCs w:val="18"/>
                <w:lang w:bidi="ar"/>
              </w:rPr>
              <w:t>万元以下的罚款：……（五）利用养老机构的房屋、场地、设施开展与养老服务宗旨无关的活动的；……</w:t>
            </w:r>
          </w:p>
        </w:tc>
        <w:tc>
          <w:tcPr>
            <w:tcW w:w="3894"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违法行为情节轻微；</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没有造成实际危害后果；</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违法行为调查过程中，不存在拒不接受执法部门调查处理、阻碍执法、煽动抗拒执法等妨碍执行公务的行为；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违法行为未被媒体报道，且未造成严重不良社会影响；</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自治区、市、县级</w:t>
            </w:r>
          </w:p>
        </w:tc>
      </w:tr>
      <w:tr w:rsidR="00F43337" w:rsidTr="00723625">
        <w:trPr>
          <w:trHeight w:val="454"/>
          <w:jc w:val="center"/>
        </w:trPr>
        <w:tc>
          <w:tcPr>
            <w:tcW w:w="13788" w:type="dxa"/>
            <w:gridSpan w:val="6"/>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lastRenderedPageBreak/>
              <w:t>二、下列违法行为初次违法且危害后果轻微并及时改正的，不予行政处罚（首违不罚）</w:t>
            </w:r>
          </w:p>
        </w:tc>
      </w:tr>
      <w:tr w:rsidR="00F43337" w:rsidTr="00723625">
        <w:trPr>
          <w:trHeight w:val="454"/>
          <w:jc w:val="center"/>
        </w:trPr>
        <w:tc>
          <w:tcPr>
            <w:tcW w:w="744"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序号</w:t>
            </w:r>
          </w:p>
        </w:tc>
        <w:tc>
          <w:tcPr>
            <w:tcW w:w="1285"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违法事项</w:t>
            </w:r>
          </w:p>
        </w:tc>
        <w:tc>
          <w:tcPr>
            <w:tcW w:w="3074"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法定依据</w:t>
            </w:r>
          </w:p>
        </w:tc>
        <w:tc>
          <w:tcPr>
            <w:tcW w:w="3894"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不予处罚适用条件</w:t>
            </w:r>
          </w:p>
        </w:tc>
        <w:tc>
          <w:tcPr>
            <w:tcW w:w="3119"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监管措施</w:t>
            </w:r>
          </w:p>
        </w:tc>
        <w:tc>
          <w:tcPr>
            <w:tcW w:w="1672"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实施层级</w:t>
            </w:r>
          </w:p>
        </w:tc>
      </w:tr>
      <w:tr w:rsidR="00F43337" w:rsidTr="00723625">
        <w:trPr>
          <w:cantSplit/>
          <w:trHeight w:val="3005"/>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社会团体违反规定设立分支机构、代表机构。</w:t>
            </w:r>
          </w:p>
        </w:tc>
        <w:tc>
          <w:tcPr>
            <w:tcW w:w="3074" w:type="dxa"/>
            <w:vAlign w:val="center"/>
          </w:tcPr>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社会团体登记管理条例》第三十条第一款第（五）项：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tc>
        <w:tc>
          <w:tcPr>
            <w:tcW w:w="3894"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首次实施违法行为；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造成的危害后果轻微；</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违反规定设立的分支机构、代表机构在两处（含）以下；</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违法行为调查过程中，不存在拒不接受执法部门调查处理、阻碍执法、煽动抗拒执法等妨碍执行公务的行为；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违法行为未造成严重不良社会影响；</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7</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自治区、市、县级</w:t>
            </w:r>
          </w:p>
        </w:tc>
      </w:tr>
      <w:tr w:rsidR="00F43337" w:rsidTr="00723625">
        <w:trPr>
          <w:cantSplit/>
          <w:trHeight w:val="4876"/>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社会团体、民办非企业单位拒不接受或者不按照规定接受监督检查。</w:t>
            </w:r>
          </w:p>
        </w:tc>
        <w:tc>
          <w:tcPr>
            <w:tcW w:w="3074" w:type="dxa"/>
            <w:vAlign w:val="center"/>
          </w:tcPr>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社会团体登记管理条例》第三十条第一款第（三）项：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民办非企业单位登记管理暂行条例》第二十五条第一款第（三）项：民办非企业单位有下列情形之一的，由登记管理机关予以警告，责令改正，可以限期停止活动；情节严重的，予以撤销登记；构成犯罪的，依法追究刑事责任：……（三）拒不接受或者不按照规定接受监督检查的；……</w:t>
            </w:r>
          </w:p>
        </w:tc>
        <w:tc>
          <w:tcPr>
            <w:tcW w:w="3894"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首次实施违法行为；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造成的危害后果轻微；</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有正当理由的；</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违法行为调查过程中，不存在拒不接受执法部门调查处理、阻碍执法、煽动抗拒执法等妨碍执行公务的行为；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违法行为未造成严重不良社会影响；</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7</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自治区、市、县级</w:t>
            </w:r>
          </w:p>
        </w:tc>
      </w:tr>
      <w:tr w:rsidR="00F43337" w:rsidTr="00723625">
        <w:trPr>
          <w:trHeight w:val="454"/>
          <w:jc w:val="center"/>
        </w:trPr>
        <w:tc>
          <w:tcPr>
            <w:tcW w:w="744"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lastRenderedPageBreak/>
              <w:t>序号</w:t>
            </w:r>
          </w:p>
        </w:tc>
        <w:tc>
          <w:tcPr>
            <w:tcW w:w="1285"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违法事项</w:t>
            </w:r>
          </w:p>
        </w:tc>
        <w:tc>
          <w:tcPr>
            <w:tcW w:w="3074"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法定依据</w:t>
            </w:r>
          </w:p>
        </w:tc>
        <w:tc>
          <w:tcPr>
            <w:tcW w:w="3894"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不予处罚适用条件</w:t>
            </w:r>
          </w:p>
        </w:tc>
        <w:tc>
          <w:tcPr>
            <w:tcW w:w="3119"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监管措施</w:t>
            </w:r>
          </w:p>
        </w:tc>
        <w:tc>
          <w:tcPr>
            <w:tcW w:w="1672" w:type="dxa"/>
            <w:vAlign w:val="center"/>
          </w:tcPr>
          <w:p w:rsidR="00F43337" w:rsidRDefault="00F43337" w:rsidP="00723625">
            <w:pPr>
              <w:widowControl/>
              <w:adjustRightInd w:val="0"/>
              <w:snapToGrid w:val="0"/>
              <w:jc w:val="center"/>
              <w:textAlignment w:val="center"/>
              <w:rPr>
                <w:rFonts w:ascii="方正黑体_GBK" w:eastAsia="方正黑体_GBK" w:hint="eastAsia"/>
                <w:color w:val="000000"/>
                <w:kern w:val="0"/>
                <w:sz w:val="21"/>
                <w:szCs w:val="21"/>
                <w:lang w:bidi="ar"/>
              </w:rPr>
            </w:pPr>
            <w:r>
              <w:rPr>
                <w:rFonts w:ascii="方正黑体_GBK" w:eastAsia="方正黑体_GBK" w:hint="eastAsia"/>
                <w:color w:val="000000"/>
                <w:kern w:val="0"/>
                <w:sz w:val="21"/>
                <w:szCs w:val="21"/>
                <w:lang w:bidi="ar"/>
              </w:rPr>
              <w:t>实施层级</w:t>
            </w:r>
          </w:p>
        </w:tc>
      </w:tr>
      <w:tr w:rsidR="00F43337" w:rsidTr="00723625">
        <w:trPr>
          <w:cantSplit/>
          <w:trHeight w:val="2835"/>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慈善组织不依法向志愿者出具志愿服务记录证明或者不及时主动向捐赠人反馈有关情况。</w:t>
            </w:r>
          </w:p>
        </w:tc>
        <w:tc>
          <w:tcPr>
            <w:tcW w:w="3074" w:type="dxa"/>
            <w:vAlign w:val="center"/>
          </w:tcPr>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中华人民共和国慈善法》第一百零二条：慈善组织不依法向捐赠人开具捐赠票据、不依法向志愿者出具志愿服务记录证明或者不及时主动向捐赠人反馈有关情况的，由民政部门予以警告，责令限期改正；逾期不改正的，责令限期停止活动。</w:t>
            </w:r>
          </w:p>
        </w:tc>
        <w:tc>
          <w:tcPr>
            <w:tcW w:w="3894"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首次实施违法行为；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造成的危害后果轻微；</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违法行为调查过程中，不存在拒不接受执法部门调查处理、阻碍执法、煽动抗拒执法等妨碍执行公务的行为；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违法行为未被媒体报道，且未造成严重不良社会影响；</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自治区、市、县级</w:t>
            </w:r>
          </w:p>
        </w:tc>
      </w:tr>
      <w:tr w:rsidR="00F43337" w:rsidTr="00723625">
        <w:trPr>
          <w:cantSplit/>
          <w:trHeight w:val="2835"/>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志愿服务组织不依法记录志愿服务信息或者出具志愿服务记录证明。</w:t>
            </w:r>
          </w:p>
        </w:tc>
        <w:tc>
          <w:tcPr>
            <w:tcW w:w="3074" w:type="dxa"/>
            <w:vAlign w:val="center"/>
          </w:tcPr>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《志愿服务条例》第三十八条：对以志愿服务名义进行营利性活动的组织和个人，由民政、工商等部门依法查处。</w:t>
            </w:r>
          </w:p>
        </w:tc>
        <w:tc>
          <w:tcPr>
            <w:tcW w:w="3894"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首次实施违法行为；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造成的危害后果轻微；</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违法行为调查过程中，不存在拒不接受执法部门调查处理、阻碍执法、煽动抗拒执法等妨碍执行公务的行为；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违法行为未被媒体报道，且未造成严重不良社会影响；</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自治区、市、县级</w:t>
            </w:r>
          </w:p>
        </w:tc>
      </w:tr>
      <w:tr w:rsidR="00F43337" w:rsidTr="00723625">
        <w:trPr>
          <w:cantSplit/>
          <w:trHeight w:val="2665"/>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采取虚报、隐瞒、伪造等手段，骗取社会救助资金、物资或者服务。</w:t>
            </w:r>
          </w:p>
        </w:tc>
        <w:tc>
          <w:tcPr>
            <w:tcW w:w="3074" w:type="dxa"/>
            <w:vAlign w:val="center"/>
          </w:tcPr>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社会救助暂行办法》第六十八条：采取虚报、隐瞒、伪造等手段，骗取社会救助资金、物资或者服务的，由有关部门决定停止社会救助，责令退回非法获取的救助资金、物资，可以处非法获取的救助款额或者物资价值</w:t>
            </w:r>
            <w:r>
              <w:rPr>
                <w:rFonts w:eastAsia="方正仿宋_GBK" w:hint="eastAsia"/>
                <w:color w:val="000000"/>
                <w:kern w:val="0"/>
                <w:sz w:val="18"/>
                <w:szCs w:val="18"/>
                <w:lang w:bidi="ar"/>
              </w:rPr>
              <w:t>1</w:t>
            </w:r>
            <w:r>
              <w:rPr>
                <w:rFonts w:eastAsia="方正仿宋_GBK" w:hint="eastAsia"/>
                <w:color w:val="000000"/>
                <w:kern w:val="0"/>
                <w:sz w:val="18"/>
                <w:szCs w:val="18"/>
                <w:lang w:bidi="ar"/>
              </w:rPr>
              <w:t>倍以上</w:t>
            </w:r>
            <w:r>
              <w:rPr>
                <w:rFonts w:eastAsia="方正仿宋_GBK" w:hint="eastAsia"/>
                <w:color w:val="000000"/>
                <w:kern w:val="0"/>
                <w:sz w:val="18"/>
                <w:szCs w:val="18"/>
                <w:lang w:bidi="ar"/>
              </w:rPr>
              <w:t>3</w:t>
            </w:r>
            <w:r>
              <w:rPr>
                <w:rFonts w:eastAsia="方正仿宋_GBK" w:hint="eastAsia"/>
                <w:color w:val="000000"/>
                <w:kern w:val="0"/>
                <w:sz w:val="18"/>
                <w:szCs w:val="18"/>
                <w:lang w:bidi="ar"/>
              </w:rPr>
              <w:t>倍以下的罚款；构成违反治安管理行为的，依法给予治安管理处罚。</w:t>
            </w:r>
          </w:p>
        </w:tc>
        <w:tc>
          <w:tcPr>
            <w:tcW w:w="3894"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首次实施违法行为；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造成的危害后果轻微；</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在行政机关调查工作过程中，没有弄虚作假和对抗检查的；</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违法行为未被媒体报道，且未造成严重不良社会影响；</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县级</w:t>
            </w:r>
          </w:p>
        </w:tc>
      </w:tr>
      <w:tr w:rsidR="00F43337" w:rsidTr="00723625">
        <w:trPr>
          <w:cantSplit/>
          <w:trHeight w:val="510"/>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ascii="方正黑体_GBK" w:eastAsia="方正黑体_GBK" w:hint="eastAsia"/>
                <w:color w:val="000000"/>
                <w:kern w:val="0"/>
                <w:sz w:val="21"/>
                <w:szCs w:val="21"/>
                <w:lang w:bidi="ar"/>
              </w:rPr>
              <w:lastRenderedPageBreak/>
              <w:t>序号</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ascii="方正黑体_GBK" w:eastAsia="方正黑体_GBK" w:hint="eastAsia"/>
                <w:color w:val="000000"/>
                <w:kern w:val="0"/>
                <w:sz w:val="21"/>
                <w:szCs w:val="21"/>
                <w:lang w:bidi="ar"/>
              </w:rPr>
              <w:t>违法事项</w:t>
            </w:r>
          </w:p>
        </w:tc>
        <w:tc>
          <w:tcPr>
            <w:tcW w:w="3074" w:type="dxa"/>
            <w:vAlign w:val="center"/>
          </w:tcPr>
          <w:p w:rsidR="00F43337" w:rsidRDefault="00F43337" w:rsidP="00723625">
            <w:pPr>
              <w:widowControl/>
              <w:adjustRightInd w:val="0"/>
              <w:snapToGrid w:val="0"/>
              <w:ind w:firstLineChars="200" w:firstLine="420"/>
              <w:jc w:val="left"/>
              <w:textAlignment w:val="center"/>
              <w:rPr>
                <w:rFonts w:eastAsia="方正仿宋_GBK" w:hint="eastAsia"/>
                <w:color w:val="000000"/>
                <w:kern w:val="0"/>
                <w:sz w:val="18"/>
                <w:szCs w:val="18"/>
                <w:lang w:bidi="ar"/>
              </w:rPr>
            </w:pPr>
            <w:r>
              <w:rPr>
                <w:rFonts w:ascii="方正黑体_GBK" w:eastAsia="方正黑体_GBK" w:hint="eastAsia"/>
                <w:color w:val="000000"/>
                <w:kern w:val="0"/>
                <w:sz w:val="21"/>
                <w:szCs w:val="21"/>
                <w:lang w:bidi="ar"/>
              </w:rPr>
              <w:t>法定依据</w:t>
            </w:r>
          </w:p>
        </w:tc>
        <w:tc>
          <w:tcPr>
            <w:tcW w:w="3894" w:type="dxa"/>
            <w:vAlign w:val="center"/>
          </w:tcPr>
          <w:p w:rsidR="00F43337" w:rsidRDefault="00F43337" w:rsidP="00723625">
            <w:pPr>
              <w:pStyle w:val="a5"/>
              <w:widowControl/>
              <w:adjustRightInd w:val="0"/>
              <w:snapToGrid w:val="0"/>
              <w:jc w:val="left"/>
              <w:textAlignment w:val="center"/>
              <w:rPr>
                <w:rFonts w:eastAsia="方正仿宋_GBK" w:hint="eastAsia"/>
                <w:color w:val="000000"/>
                <w:kern w:val="0"/>
                <w:sz w:val="18"/>
                <w:szCs w:val="18"/>
                <w:lang w:bidi="ar"/>
              </w:rPr>
            </w:pPr>
            <w:r>
              <w:rPr>
                <w:rFonts w:ascii="方正黑体_GBK" w:eastAsia="方正黑体_GBK" w:hint="eastAsia"/>
                <w:color w:val="000000"/>
                <w:kern w:val="0"/>
                <w:sz w:val="21"/>
                <w:szCs w:val="21"/>
                <w:lang w:bidi="ar"/>
              </w:rPr>
              <w:t>不予处罚适用条件</w:t>
            </w:r>
          </w:p>
        </w:tc>
        <w:tc>
          <w:tcPr>
            <w:tcW w:w="3119" w:type="dxa"/>
            <w:vAlign w:val="center"/>
          </w:tcPr>
          <w:p w:rsidR="00F43337" w:rsidRDefault="00F43337" w:rsidP="00723625">
            <w:pPr>
              <w:pStyle w:val="a5"/>
              <w:widowControl/>
              <w:adjustRightInd w:val="0"/>
              <w:snapToGrid w:val="0"/>
              <w:jc w:val="left"/>
              <w:textAlignment w:val="center"/>
              <w:rPr>
                <w:rFonts w:eastAsia="方正仿宋_GBK" w:hint="eastAsia"/>
                <w:color w:val="000000"/>
                <w:kern w:val="0"/>
                <w:sz w:val="18"/>
                <w:szCs w:val="18"/>
                <w:lang w:bidi="ar"/>
              </w:rPr>
            </w:pPr>
            <w:r>
              <w:rPr>
                <w:rFonts w:ascii="方正黑体_GBK" w:eastAsia="方正黑体_GBK" w:hint="eastAsia"/>
                <w:color w:val="000000"/>
                <w:kern w:val="0"/>
                <w:sz w:val="21"/>
                <w:szCs w:val="21"/>
                <w:lang w:bidi="ar"/>
              </w:rPr>
              <w:t>监管措施</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ascii="方正黑体_GBK" w:eastAsia="方正黑体_GBK" w:hint="eastAsia"/>
                <w:color w:val="000000"/>
                <w:kern w:val="0"/>
                <w:sz w:val="21"/>
                <w:szCs w:val="21"/>
                <w:lang w:bidi="ar"/>
              </w:rPr>
              <w:t>实施层级</w:t>
            </w:r>
          </w:p>
        </w:tc>
      </w:tr>
      <w:tr w:rsidR="00F43337" w:rsidTr="00723625">
        <w:trPr>
          <w:cantSplit/>
          <w:trHeight w:val="3969"/>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养老机构未建立入院评估制度或者未按照规定开展评估活动。</w:t>
            </w:r>
          </w:p>
        </w:tc>
        <w:tc>
          <w:tcPr>
            <w:tcW w:w="3074" w:type="dxa"/>
            <w:vAlign w:val="center"/>
          </w:tcPr>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《养老机构管理办法》第四十六条第一款第（一）项：养老机构有下列行为之一的，由民政部门责令改正，给予警告；情节严重的，处以</w:t>
            </w:r>
            <w:r>
              <w:rPr>
                <w:rFonts w:eastAsia="方正仿宋_GBK" w:hint="eastAsia"/>
                <w:color w:val="000000"/>
                <w:kern w:val="0"/>
                <w:sz w:val="18"/>
                <w:szCs w:val="18"/>
                <w:lang w:bidi="ar"/>
              </w:rPr>
              <w:t>3</w:t>
            </w:r>
            <w:r>
              <w:rPr>
                <w:rFonts w:eastAsia="方正仿宋_GBK" w:hint="eastAsia"/>
                <w:color w:val="000000"/>
                <w:kern w:val="0"/>
                <w:sz w:val="18"/>
                <w:szCs w:val="18"/>
                <w:lang w:bidi="ar"/>
              </w:rPr>
              <w:t>万元以下的罚款：（一）未建立入院评估制度或者未按照规定开展评估活动的；……</w:t>
            </w:r>
          </w:p>
        </w:tc>
        <w:tc>
          <w:tcPr>
            <w:tcW w:w="3894"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首次实施违法行为；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造成的危害后果轻微；</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违法行为调查过程中，不存在拒不接受执法部门调查处理、阻碍执法、煽动抗拒执法等妨碍执行公务的行为；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违法行为未被媒体报道，且未造成严重不良社会影响；</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自治区、市、县级</w:t>
            </w:r>
          </w:p>
        </w:tc>
      </w:tr>
      <w:tr w:rsidR="00F43337" w:rsidTr="00723625">
        <w:trPr>
          <w:cantSplit/>
          <w:trHeight w:val="3969"/>
          <w:jc w:val="center"/>
        </w:trPr>
        <w:tc>
          <w:tcPr>
            <w:tcW w:w="744"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7</w:t>
            </w:r>
          </w:p>
        </w:tc>
        <w:tc>
          <w:tcPr>
            <w:tcW w:w="1285" w:type="dxa"/>
            <w:vAlign w:val="center"/>
          </w:tcPr>
          <w:p w:rsidR="00F43337" w:rsidRDefault="00F43337" w:rsidP="00723625">
            <w:pPr>
              <w:widowControl/>
              <w:adjustRightInd w:val="0"/>
              <w:snapToGrid w:val="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养老机构未与老年人或者其代理人签订服务协议或者未按照协议约定提供服务。</w:t>
            </w:r>
          </w:p>
        </w:tc>
        <w:tc>
          <w:tcPr>
            <w:tcW w:w="3074" w:type="dxa"/>
            <w:vAlign w:val="center"/>
          </w:tcPr>
          <w:p w:rsidR="00F43337" w:rsidRDefault="00F43337" w:rsidP="00723625">
            <w:pPr>
              <w:widowControl/>
              <w:adjustRightInd w:val="0"/>
              <w:snapToGrid w:val="0"/>
              <w:ind w:firstLineChars="200"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《养老机构管理办法》第四十六条第一款第（二）项：养老机构有下列行为之一的，由民政部门责令改正，给予警告；情节严重的，处以</w:t>
            </w:r>
            <w:r>
              <w:rPr>
                <w:rFonts w:eastAsia="方正仿宋_GBK" w:hint="eastAsia"/>
                <w:color w:val="000000"/>
                <w:kern w:val="0"/>
                <w:sz w:val="18"/>
                <w:szCs w:val="18"/>
                <w:lang w:bidi="ar"/>
              </w:rPr>
              <w:t>3</w:t>
            </w:r>
            <w:r>
              <w:rPr>
                <w:rFonts w:eastAsia="方正仿宋_GBK" w:hint="eastAsia"/>
                <w:color w:val="000000"/>
                <w:kern w:val="0"/>
                <w:sz w:val="18"/>
                <w:szCs w:val="18"/>
                <w:lang w:bidi="ar"/>
              </w:rPr>
              <w:t>万元以下的罚款：……（二）未与老年人或者其代理人签订服务协议，或者未按照协议约定提供服务的；……</w:t>
            </w:r>
          </w:p>
        </w:tc>
        <w:tc>
          <w:tcPr>
            <w:tcW w:w="3894"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首次实施违法行为；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造成的危害后果轻微；</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主动整改或在行政机关责令改正期限内改正违法行为；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4</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违法行为调查过程中，不存在拒不接受执法部门调查处理、阻碍执法、煽动抗拒执法等妨碍执行公务的行为；</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5</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违法行为未被媒体报道，且未造成严重不良社会影响；</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6</w:t>
            </w:r>
            <w:r>
              <w:rPr>
                <w:rFonts w:ascii="宋体" w:hAnsi="宋体" w:hint="eastAsia"/>
                <w:color w:val="000000"/>
                <w:kern w:val="0"/>
                <w:sz w:val="18"/>
                <w:szCs w:val="18"/>
                <w:lang w:bidi="ar"/>
              </w:rPr>
              <w:t>.</w:t>
            </w:r>
            <w:r>
              <w:rPr>
                <w:rFonts w:eastAsia="方正仿宋_GBK" w:hint="eastAsia"/>
                <w:color w:val="000000"/>
                <w:kern w:val="0"/>
                <w:sz w:val="18"/>
                <w:szCs w:val="18"/>
                <w:lang w:bidi="ar"/>
              </w:rPr>
              <w:t>违法行为未涉嫌刑事犯罪。</w:t>
            </w:r>
          </w:p>
        </w:tc>
        <w:tc>
          <w:tcPr>
            <w:tcW w:w="3119" w:type="dxa"/>
            <w:vAlign w:val="center"/>
          </w:tcPr>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1</w:t>
            </w:r>
            <w:r>
              <w:rPr>
                <w:rFonts w:ascii="宋体" w:hAnsi="宋体" w:hint="eastAsia"/>
                <w:color w:val="000000"/>
                <w:kern w:val="0"/>
                <w:sz w:val="18"/>
                <w:szCs w:val="18"/>
                <w:lang w:bidi="ar"/>
              </w:rPr>
              <w:t>.</w:t>
            </w:r>
            <w:r>
              <w:rPr>
                <w:rFonts w:eastAsia="方正仿宋_GBK" w:hint="eastAsia"/>
                <w:color w:val="000000"/>
                <w:kern w:val="0"/>
                <w:sz w:val="18"/>
                <w:szCs w:val="18"/>
                <w:lang w:bidi="ar"/>
              </w:rPr>
              <w:t>通过说服教育、警示告诫、指导约谈等措施教育、引导、督促当事人依法依规开展相关活动；</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2</w:t>
            </w:r>
            <w:r>
              <w:rPr>
                <w:rFonts w:ascii="宋体" w:hAnsi="宋体" w:hint="eastAsia"/>
                <w:color w:val="000000"/>
                <w:kern w:val="0"/>
                <w:sz w:val="18"/>
                <w:szCs w:val="18"/>
                <w:lang w:bidi="ar"/>
              </w:rPr>
              <w:t>.</w:t>
            </w:r>
            <w:r>
              <w:rPr>
                <w:rFonts w:eastAsia="方正仿宋_GBK" w:hint="eastAsia"/>
                <w:color w:val="000000"/>
                <w:kern w:val="0"/>
                <w:sz w:val="18"/>
                <w:szCs w:val="18"/>
                <w:lang w:bidi="ar"/>
              </w:rPr>
              <w:t>督促当事人</w:t>
            </w:r>
            <w:proofErr w:type="gramStart"/>
            <w:r>
              <w:rPr>
                <w:rFonts w:eastAsia="方正仿宋_GBK" w:hint="eastAsia"/>
                <w:color w:val="000000"/>
                <w:kern w:val="0"/>
                <w:sz w:val="18"/>
                <w:szCs w:val="18"/>
                <w:lang w:bidi="ar"/>
              </w:rPr>
              <w:t>作出</w:t>
            </w:r>
            <w:proofErr w:type="gramEnd"/>
            <w:r>
              <w:rPr>
                <w:rFonts w:eastAsia="方正仿宋_GBK" w:hint="eastAsia"/>
                <w:color w:val="000000"/>
                <w:kern w:val="0"/>
                <w:sz w:val="18"/>
                <w:szCs w:val="18"/>
                <w:lang w:bidi="ar"/>
              </w:rPr>
              <w:t>整改承诺，要求其限期改正，并跟进改正情况；</w:t>
            </w:r>
          </w:p>
          <w:p w:rsidR="00F43337" w:rsidRDefault="00F43337" w:rsidP="00723625">
            <w:pPr>
              <w:pStyle w:val="a5"/>
              <w:widowControl/>
              <w:adjustRightInd w:val="0"/>
              <w:snapToGrid w:val="0"/>
              <w:ind w:firstLine="360"/>
              <w:jc w:val="left"/>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3</w:t>
            </w:r>
            <w:r>
              <w:rPr>
                <w:rFonts w:ascii="宋体" w:hAnsi="宋体" w:hint="eastAsia"/>
                <w:color w:val="000000"/>
                <w:kern w:val="0"/>
                <w:sz w:val="18"/>
                <w:szCs w:val="18"/>
                <w:lang w:bidi="ar"/>
              </w:rPr>
              <w:t>.</w:t>
            </w:r>
            <w:r>
              <w:rPr>
                <w:rFonts w:eastAsia="方正仿宋_GBK" w:hint="eastAsia"/>
                <w:color w:val="000000"/>
                <w:kern w:val="0"/>
                <w:sz w:val="18"/>
                <w:szCs w:val="18"/>
                <w:lang w:bidi="ar"/>
              </w:rPr>
              <w:t>对于拒不改正或期限内没有完成改正的，依法处罚；对于主动改正或期限内完成改正的，依法不予处罚。</w:t>
            </w:r>
          </w:p>
        </w:tc>
        <w:tc>
          <w:tcPr>
            <w:tcW w:w="1672" w:type="dxa"/>
            <w:vAlign w:val="center"/>
          </w:tcPr>
          <w:p w:rsidR="00F43337" w:rsidRDefault="00F43337" w:rsidP="00723625">
            <w:pPr>
              <w:widowControl/>
              <w:adjustRightInd w:val="0"/>
              <w:snapToGrid w:val="0"/>
              <w:jc w:val="center"/>
              <w:textAlignment w:val="center"/>
              <w:rPr>
                <w:rFonts w:eastAsia="方正仿宋_GBK" w:hint="eastAsia"/>
                <w:color w:val="000000"/>
                <w:kern w:val="0"/>
                <w:sz w:val="18"/>
                <w:szCs w:val="18"/>
                <w:lang w:bidi="ar"/>
              </w:rPr>
            </w:pPr>
            <w:r>
              <w:rPr>
                <w:rFonts w:eastAsia="方正仿宋_GBK" w:hint="eastAsia"/>
                <w:color w:val="000000"/>
                <w:kern w:val="0"/>
                <w:sz w:val="18"/>
                <w:szCs w:val="18"/>
                <w:lang w:bidi="ar"/>
              </w:rPr>
              <w:t>自治区、市、县级</w:t>
            </w:r>
          </w:p>
        </w:tc>
      </w:tr>
    </w:tbl>
    <w:p w:rsidR="002539C7" w:rsidRDefault="002539C7" w:rsidP="00F43337">
      <w:bookmarkStart w:id="0" w:name="_GoBack"/>
      <w:bookmarkEnd w:id="0"/>
    </w:p>
    <w:sectPr w:rsidR="002539C7" w:rsidSect="00F43337">
      <w:pgSz w:w="16838" w:h="11906" w:orient="landscape"/>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4C" w:rsidRDefault="00C60D4C" w:rsidP="00F43337">
      <w:r>
        <w:separator/>
      </w:r>
    </w:p>
  </w:endnote>
  <w:endnote w:type="continuationSeparator" w:id="0">
    <w:p w:rsidR="00C60D4C" w:rsidRDefault="00C60D4C" w:rsidP="00F4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4C" w:rsidRDefault="00C60D4C" w:rsidP="00F43337">
      <w:r>
        <w:separator/>
      </w:r>
    </w:p>
  </w:footnote>
  <w:footnote w:type="continuationSeparator" w:id="0">
    <w:p w:rsidR="00C60D4C" w:rsidRDefault="00C60D4C" w:rsidP="00F43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7E"/>
    <w:rsid w:val="00003BFE"/>
    <w:rsid w:val="00011730"/>
    <w:rsid w:val="00011755"/>
    <w:rsid w:val="00014568"/>
    <w:rsid w:val="00014ED5"/>
    <w:rsid w:val="0001564D"/>
    <w:rsid w:val="00022B63"/>
    <w:rsid w:val="00024FA9"/>
    <w:rsid w:val="00035B22"/>
    <w:rsid w:val="000374CA"/>
    <w:rsid w:val="00047C1D"/>
    <w:rsid w:val="0005150D"/>
    <w:rsid w:val="0005153A"/>
    <w:rsid w:val="00053FFB"/>
    <w:rsid w:val="000560DE"/>
    <w:rsid w:val="00063FF8"/>
    <w:rsid w:val="00067A47"/>
    <w:rsid w:val="0007361C"/>
    <w:rsid w:val="000776D5"/>
    <w:rsid w:val="000808EB"/>
    <w:rsid w:val="000814A4"/>
    <w:rsid w:val="00086155"/>
    <w:rsid w:val="000864E1"/>
    <w:rsid w:val="000910ED"/>
    <w:rsid w:val="000A0329"/>
    <w:rsid w:val="000A0616"/>
    <w:rsid w:val="000A0B5B"/>
    <w:rsid w:val="000A246C"/>
    <w:rsid w:val="000A5A73"/>
    <w:rsid w:val="000C152C"/>
    <w:rsid w:val="000C246F"/>
    <w:rsid w:val="000C2D02"/>
    <w:rsid w:val="000C3BEF"/>
    <w:rsid w:val="000E1CE2"/>
    <w:rsid w:val="000E1EF4"/>
    <w:rsid w:val="000E230E"/>
    <w:rsid w:val="000F1D61"/>
    <w:rsid w:val="000F3312"/>
    <w:rsid w:val="000F5FF5"/>
    <w:rsid w:val="000F6CA7"/>
    <w:rsid w:val="00101A3A"/>
    <w:rsid w:val="00113A31"/>
    <w:rsid w:val="001158AC"/>
    <w:rsid w:val="00117308"/>
    <w:rsid w:val="00117F63"/>
    <w:rsid w:val="00120047"/>
    <w:rsid w:val="001229EA"/>
    <w:rsid w:val="00123061"/>
    <w:rsid w:val="001316B7"/>
    <w:rsid w:val="001339B4"/>
    <w:rsid w:val="00141809"/>
    <w:rsid w:val="001424BD"/>
    <w:rsid w:val="00142733"/>
    <w:rsid w:val="00156292"/>
    <w:rsid w:val="001579D5"/>
    <w:rsid w:val="00160C80"/>
    <w:rsid w:val="00161B1B"/>
    <w:rsid w:val="00164EB4"/>
    <w:rsid w:val="00164F3C"/>
    <w:rsid w:val="00165FF2"/>
    <w:rsid w:val="00170CF8"/>
    <w:rsid w:val="00171E04"/>
    <w:rsid w:val="00172D8B"/>
    <w:rsid w:val="00174BA1"/>
    <w:rsid w:val="0018440A"/>
    <w:rsid w:val="00185CD0"/>
    <w:rsid w:val="0019033E"/>
    <w:rsid w:val="0019253D"/>
    <w:rsid w:val="001940AF"/>
    <w:rsid w:val="001A11DE"/>
    <w:rsid w:val="001A3E09"/>
    <w:rsid w:val="001A5963"/>
    <w:rsid w:val="001C0013"/>
    <w:rsid w:val="001C67AF"/>
    <w:rsid w:val="001E63B8"/>
    <w:rsid w:val="001F2507"/>
    <w:rsid w:val="001F4982"/>
    <w:rsid w:val="001F760A"/>
    <w:rsid w:val="002020B8"/>
    <w:rsid w:val="00204510"/>
    <w:rsid w:val="002049EA"/>
    <w:rsid w:val="00214593"/>
    <w:rsid w:val="002149B6"/>
    <w:rsid w:val="00215203"/>
    <w:rsid w:val="00222247"/>
    <w:rsid w:val="00224057"/>
    <w:rsid w:val="00233CD7"/>
    <w:rsid w:val="002344A6"/>
    <w:rsid w:val="0023518E"/>
    <w:rsid w:val="00237F5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3058E5"/>
    <w:rsid w:val="00305983"/>
    <w:rsid w:val="00305AB1"/>
    <w:rsid w:val="00310B4F"/>
    <w:rsid w:val="00312300"/>
    <w:rsid w:val="00325380"/>
    <w:rsid w:val="00327830"/>
    <w:rsid w:val="00337E6D"/>
    <w:rsid w:val="00341732"/>
    <w:rsid w:val="003441A8"/>
    <w:rsid w:val="00345F7C"/>
    <w:rsid w:val="00347A90"/>
    <w:rsid w:val="00347FF8"/>
    <w:rsid w:val="00352E2B"/>
    <w:rsid w:val="0036042E"/>
    <w:rsid w:val="0037740A"/>
    <w:rsid w:val="00381C76"/>
    <w:rsid w:val="003870C1"/>
    <w:rsid w:val="0039047E"/>
    <w:rsid w:val="0039106C"/>
    <w:rsid w:val="003A0DE2"/>
    <w:rsid w:val="003A62B8"/>
    <w:rsid w:val="003C10D0"/>
    <w:rsid w:val="003C15F0"/>
    <w:rsid w:val="003C1DA7"/>
    <w:rsid w:val="003E21AF"/>
    <w:rsid w:val="003E22ED"/>
    <w:rsid w:val="003E2C75"/>
    <w:rsid w:val="003E6868"/>
    <w:rsid w:val="003E7A53"/>
    <w:rsid w:val="003E7FAC"/>
    <w:rsid w:val="003F3DF9"/>
    <w:rsid w:val="003F6ED1"/>
    <w:rsid w:val="003F71DF"/>
    <w:rsid w:val="003F7D04"/>
    <w:rsid w:val="0040348A"/>
    <w:rsid w:val="00405D80"/>
    <w:rsid w:val="00406A7E"/>
    <w:rsid w:val="00407AD3"/>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4D0F"/>
    <w:rsid w:val="00466001"/>
    <w:rsid w:val="00471459"/>
    <w:rsid w:val="004717A7"/>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E1513"/>
    <w:rsid w:val="004E1B10"/>
    <w:rsid w:val="004E469B"/>
    <w:rsid w:val="004E6FF9"/>
    <w:rsid w:val="004F3108"/>
    <w:rsid w:val="004F4ED5"/>
    <w:rsid w:val="004F6053"/>
    <w:rsid w:val="004F6080"/>
    <w:rsid w:val="004F7A6B"/>
    <w:rsid w:val="00500F9B"/>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3667"/>
    <w:rsid w:val="0054420B"/>
    <w:rsid w:val="0055029C"/>
    <w:rsid w:val="0055379F"/>
    <w:rsid w:val="00553CF0"/>
    <w:rsid w:val="00561998"/>
    <w:rsid w:val="005646D8"/>
    <w:rsid w:val="00565EC5"/>
    <w:rsid w:val="00574513"/>
    <w:rsid w:val="0057639A"/>
    <w:rsid w:val="00584B8C"/>
    <w:rsid w:val="00586676"/>
    <w:rsid w:val="00587811"/>
    <w:rsid w:val="00587B10"/>
    <w:rsid w:val="00590163"/>
    <w:rsid w:val="00592023"/>
    <w:rsid w:val="005925DC"/>
    <w:rsid w:val="005950C7"/>
    <w:rsid w:val="005A1799"/>
    <w:rsid w:val="005A4EE3"/>
    <w:rsid w:val="005A5633"/>
    <w:rsid w:val="005B475A"/>
    <w:rsid w:val="005B6DD2"/>
    <w:rsid w:val="005C4771"/>
    <w:rsid w:val="005D4ED3"/>
    <w:rsid w:val="005D58D9"/>
    <w:rsid w:val="005D6033"/>
    <w:rsid w:val="005E51FE"/>
    <w:rsid w:val="005E5F73"/>
    <w:rsid w:val="005E6F5C"/>
    <w:rsid w:val="005F2385"/>
    <w:rsid w:val="005F43B1"/>
    <w:rsid w:val="006031C7"/>
    <w:rsid w:val="006038A6"/>
    <w:rsid w:val="00603E0B"/>
    <w:rsid w:val="00616610"/>
    <w:rsid w:val="00624536"/>
    <w:rsid w:val="0062799F"/>
    <w:rsid w:val="00653143"/>
    <w:rsid w:val="00653BDC"/>
    <w:rsid w:val="00655A33"/>
    <w:rsid w:val="00656289"/>
    <w:rsid w:val="0065783D"/>
    <w:rsid w:val="0066110F"/>
    <w:rsid w:val="0067142B"/>
    <w:rsid w:val="00681846"/>
    <w:rsid w:val="006818CC"/>
    <w:rsid w:val="00686E3D"/>
    <w:rsid w:val="00690608"/>
    <w:rsid w:val="006947FB"/>
    <w:rsid w:val="00697F54"/>
    <w:rsid w:val="006A1CDB"/>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E25CD"/>
    <w:rsid w:val="006E2EA1"/>
    <w:rsid w:val="006E5BC8"/>
    <w:rsid w:val="006E6AFE"/>
    <w:rsid w:val="006E72B7"/>
    <w:rsid w:val="006E7C77"/>
    <w:rsid w:val="006F0A65"/>
    <w:rsid w:val="006F7BB5"/>
    <w:rsid w:val="007072B9"/>
    <w:rsid w:val="00707AB0"/>
    <w:rsid w:val="007140DC"/>
    <w:rsid w:val="00716A83"/>
    <w:rsid w:val="007227E3"/>
    <w:rsid w:val="007242AF"/>
    <w:rsid w:val="007251E7"/>
    <w:rsid w:val="00726F37"/>
    <w:rsid w:val="0072709B"/>
    <w:rsid w:val="00727C99"/>
    <w:rsid w:val="00733F76"/>
    <w:rsid w:val="00736325"/>
    <w:rsid w:val="00736DFF"/>
    <w:rsid w:val="00741147"/>
    <w:rsid w:val="00741188"/>
    <w:rsid w:val="00742E5A"/>
    <w:rsid w:val="0074595C"/>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6D5"/>
    <w:rsid w:val="007E578A"/>
    <w:rsid w:val="007F0928"/>
    <w:rsid w:val="007F0C36"/>
    <w:rsid w:val="007F39D8"/>
    <w:rsid w:val="007F4EB8"/>
    <w:rsid w:val="00801203"/>
    <w:rsid w:val="00814C7A"/>
    <w:rsid w:val="00815181"/>
    <w:rsid w:val="00815500"/>
    <w:rsid w:val="008169DF"/>
    <w:rsid w:val="0082172A"/>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782"/>
    <w:rsid w:val="0089278F"/>
    <w:rsid w:val="00892C44"/>
    <w:rsid w:val="00893D65"/>
    <w:rsid w:val="00896AA4"/>
    <w:rsid w:val="008A79FE"/>
    <w:rsid w:val="008B237E"/>
    <w:rsid w:val="008B5BE9"/>
    <w:rsid w:val="008B61BB"/>
    <w:rsid w:val="008B7A76"/>
    <w:rsid w:val="008C2215"/>
    <w:rsid w:val="008C3BD1"/>
    <w:rsid w:val="008C5CA0"/>
    <w:rsid w:val="008D064F"/>
    <w:rsid w:val="008D28C9"/>
    <w:rsid w:val="008E08DC"/>
    <w:rsid w:val="008E484D"/>
    <w:rsid w:val="008E4D1D"/>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C01E1"/>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3052A"/>
    <w:rsid w:val="00A33C7D"/>
    <w:rsid w:val="00A3462A"/>
    <w:rsid w:val="00A55197"/>
    <w:rsid w:val="00A55C98"/>
    <w:rsid w:val="00A6035D"/>
    <w:rsid w:val="00A60D97"/>
    <w:rsid w:val="00A67EF7"/>
    <w:rsid w:val="00A71AAD"/>
    <w:rsid w:val="00A80214"/>
    <w:rsid w:val="00A803EA"/>
    <w:rsid w:val="00A81EE6"/>
    <w:rsid w:val="00A81F1E"/>
    <w:rsid w:val="00A83C8E"/>
    <w:rsid w:val="00A875BE"/>
    <w:rsid w:val="00A96A66"/>
    <w:rsid w:val="00AA101A"/>
    <w:rsid w:val="00AA29AB"/>
    <w:rsid w:val="00AA33F1"/>
    <w:rsid w:val="00AB0212"/>
    <w:rsid w:val="00AB205B"/>
    <w:rsid w:val="00AB448D"/>
    <w:rsid w:val="00AC3183"/>
    <w:rsid w:val="00AC4B8E"/>
    <w:rsid w:val="00AC5031"/>
    <w:rsid w:val="00AC6898"/>
    <w:rsid w:val="00AD5CC2"/>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44BC"/>
    <w:rsid w:val="00B45FA4"/>
    <w:rsid w:val="00B52729"/>
    <w:rsid w:val="00B6456D"/>
    <w:rsid w:val="00B766A2"/>
    <w:rsid w:val="00B81C62"/>
    <w:rsid w:val="00B84AC0"/>
    <w:rsid w:val="00B90AB3"/>
    <w:rsid w:val="00B938FE"/>
    <w:rsid w:val="00B93D74"/>
    <w:rsid w:val="00B95972"/>
    <w:rsid w:val="00BA36AA"/>
    <w:rsid w:val="00BC2E9D"/>
    <w:rsid w:val="00BC339D"/>
    <w:rsid w:val="00BC5167"/>
    <w:rsid w:val="00BE6876"/>
    <w:rsid w:val="00BF1524"/>
    <w:rsid w:val="00BF573F"/>
    <w:rsid w:val="00C074BE"/>
    <w:rsid w:val="00C10BA8"/>
    <w:rsid w:val="00C15F57"/>
    <w:rsid w:val="00C20C6E"/>
    <w:rsid w:val="00C267D8"/>
    <w:rsid w:val="00C42D12"/>
    <w:rsid w:val="00C5222F"/>
    <w:rsid w:val="00C5288F"/>
    <w:rsid w:val="00C52EFF"/>
    <w:rsid w:val="00C54402"/>
    <w:rsid w:val="00C54C5F"/>
    <w:rsid w:val="00C55271"/>
    <w:rsid w:val="00C55896"/>
    <w:rsid w:val="00C60CB8"/>
    <w:rsid w:val="00C60D4C"/>
    <w:rsid w:val="00C618A6"/>
    <w:rsid w:val="00C67FC9"/>
    <w:rsid w:val="00C7567D"/>
    <w:rsid w:val="00C80B61"/>
    <w:rsid w:val="00C835F5"/>
    <w:rsid w:val="00C86FFA"/>
    <w:rsid w:val="00C93408"/>
    <w:rsid w:val="00C96AFE"/>
    <w:rsid w:val="00CA2924"/>
    <w:rsid w:val="00CA35AD"/>
    <w:rsid w:val="00CA4A36"/>
    <w:rsid w:val="00CB2E04"/>
    <w:rsid w:val="00CB7D7B"/>
    <w:rsid w:val="00CC08A2"/>
    <w:rsid w:val="00CC223B"/>
    <w:rsid w:val="00CC29FA"/>
    <w:rsid w:val="00CC4C3A"/>
    <w:rsid w:val="00CC57D9"/>
    <w:rsid w:val="00CC5C33"/>
    <w:rsid w:val="00CD2119"/>
    <w:rsid w:val="00CD6652"/>
    <w:rsid w:val="00CE0124"/>
    <w:rsid w:val="00CE1AAD"/>
    <w:rsid w:val="00CE59DD"/>
    <w:rsid w:val="00CE6385"/>
    <w:rsid w:val="00CE793B"/>
    <w:rsid w:val="00CF217A"/>
    <w:rsid w:val="00CF3B9B"/>
    <w:rsid w:val="00CF51ED"/>
    <w:rsid w:val="00D01C06"/>
    <w:rsid w:val="00D038EE"/>
    <w:rsid w:val="00D0785B"/>
    <w:rsid w:val="00D14599"/>
    <w:rsid w:val="00D14900"/>
    <w:rsid w:val="00D15D9E"/>
    <w:rsid w:val="00D16A7C"/>
    <w:rsid w:val="00D24C2C"/>
    <w:rsid w:val="00D25965"/>
    <w:rsid w:val="00D265B2"/>
    <w:rsid w:val="00D30F5A"/>
    <w:rsid w:val="00D324A9"/>
    <w:rsid w:val="00D344AC"/>
    <w:rsid w:val="00D47CC5"/>
    <w:rsid w:val="00D50031"/>
    <w:rsid w:val="00D50554"/>
    <w:rsid w:val="00D53108"/>
    <w:rsid w:val="00D6459B"/>
    <w:rsid w:val="00D65978"/>
    <w:rsid w:val="00D67F4E"/>
    <w:rsid w:val="00D735E0"/>
    <w:rsid w:val="00D86722"/>
    <w:rsid w:val="00D87EAE"/>
    <w:rsid w:val="00D90B02"/>
    <w:rsid w:val="00D90E12"/>
    <w:rsid w:val="00D92B79"/>
    <w:rsid w:val="00D9458B"/>
    <w:rsid w:val="00D969DC"/>
    <w:rsid w:val="00DA3643"/>
    <w:rsid w:val="00DB213E"/>
    <w:rsid w:val="00DB2A0E"/>
    <w:rsid w:val="00DC3B8B"/>
    <w:rsid w:val="00DC7B64"/>
    <w:rsid w:val="00DD089C"/>
    <w:rsid w:val="00DD1BF8"/>
    <w:rsid w:val="00DD3DD5"/>
    <w:rsid w:val="00DD5953"/>
    <w:rsid w:val="00DD5B3B"/>
    <w:rsid w:val="00DE11D4"/>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2D77"/>
    <w:rsid w:val="00E94CA3"/>
    <w:rsid w:val="00EA0CA9"/>
    <w:rsid w:val="00EA0E0D"/>
    <w:rsid w:val="00EA2888"/>
    <w:rsid w:val="00EA7743"/>
    <w:rsid w:val="00EB0C66"/>
    <w:rsid w:val="00EB12A0"/>
    <w:rsid w:val="00EB421E"/>
    <w:rsid w:val="00EC0173"/>
    <w:rsid w:val="00EC0E2D"/>
    <w:rsid w:val="00EC3514"/>
    <w:rsid w:val="00ED5C9B"/>
    <w:rsid w:val="00EE1701"/>
    <w:rsid w:val="00EE5C2F"/>
    <w:rsid w:val="00EE7081"/>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3337"/>
    <w:rsid w:val="00F444D5"/>
    <w:rsid w:val="00F54E82"/>
    <w:rsid w:val="00F55381"/>
    <w:rsid w:val="00F709E8"/>
    <w:rsid w:val="00F773D3"/>
    <w:rsid w:val="00F82E72"/>
    <w:rsid w:val="00F83C81"/>
    <w:rsid w:val="00F85A27"/>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37"/>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3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3337"/>
    <w:rPr>
      <w:sz w:val="18"/>
      <w:szCs w:val="18"/>
    </w:rPr>
  </w:style>
  <w:style w:type="paragraph" w:styleId="a4">
    <w:name w:val="footer"/>
    <w:basedOn w:val="a"/>
    <w:link w:val="Char0"/>
    <w:uiPriority w:val="99"/>
    <w:unhideWhenUsed/>
    <w:rsid w:val="00F433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3337"/>
    <w:rPr>
      <w:sz w:val="18"/>
      <w:szCs w:val="18"/>
    </w:rPr>
  </w:style>
  <w:style w:type="paragraph" w:styleId="a5">
    <w:name w:val="List Paragraph"/>
    <w:basedOn w:val="a"/>
    <w:uiPriority w:val="34"/>
    <w:qFormat/>
    <w:rsid w:val="00F4333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37"/>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3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3337"/>
    <w:rPr>
      <w:sz w:val="18"/>
      <w:szCs w:val="18"/>
    </w:rPr>
  </w:style>
  <w:style w:type="paragraph" w:styleId="a4">
    <w:name w:val="footer"/>
    <w:basedOn w:val="a"/>
    <w:link w:val="Char0"/>
    <w:uiPriority w:val="99"/>
    <w:unhideWhenUsed/>
    <w:rsid w:val="00F433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3337"/>
    <w:rPr>
      <w:sz w:val="18"/>
      <w:szCs w:val="18"/>
    </w:rPr>
  </w:style>
  <w:style w:type="paragraph" w:styleId="a5">
    <w:name w:val="List Paragraph"/>
    <w:basedOn w:val="a"/>
    <w:uiPriority w:val="34"/>
    <w:qFormat/>
    <w:rsid w:val="00F433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2024-01-08T07:54:00Z</dcterms:created>
  <dcterms:modified xsi:type="dcterms:W3CDTF">2024-01-08T07:54:00Z</dcterms:modified>
</cp:coreProperties>
</file>