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6C" w:rsidRDefault="0089416C" w:rsidP="0089416C">
      <w:pPr>
        <w:adjustRightInd w:val="0"/>
        <w:snapToGrid w:val="0"/>
        <w:spacing w:line="500" w:lineRule="exact"/>
        <w:ind w:firstLineChars="20" w:firstLine="64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表1</w:t>
      </w:r>
    </w:p>
    <w:p w:rsidR="0089416C" w:rsidRDefault="0089416C" w:rsidP="0089416C">
      <w:pPr>
        <w:adjustRightInd w:val="0"/>
        <w:snapToGrid w:val="0"/>
        <w:spacing w:afterLines="50" w:after="156" w:line="500" w:lineRule="exact"/>
        <w:jc w:val="center"/>
        <w:rPr>
          <w:rFonts w:ascii="Times New Roman" w:eastAsia="方正仿宋_GBK"/>
          <w:snapToGrid w:val="0"/>
          <w:kern w:val="0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2024年民政部门联合抽查事项清单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4"/>
        <w:gridCol w:w="1701"/>
        <w:gridCol w:w="1021"/>
        <w:gridCol w:w="2778"/>
        <w:gridCol w:w="1701"/>
        <w:gridCol w:w="1106"/>
        <w:gridCol w:w="1221"/>
        <w:gridCol w:w="3686"/>
      </w:tblGrid>
      <w:tr w:rsidR="0089416C" w:rsidTr="004B399F">
        <w:trPr>
          <w:cantSplit/>
          <w:trHeight w:val="567"/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事项序号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抽查领域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联合部门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抽查事项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检查对象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检查主体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检查依据</w:t>
            </w:r>
          </w:p>
        </w:tc>
      </w:tr>
      <w:tr w:rsidR="0089416C" w:rsidTr="004B399F">
        <w:trPr>
          <w:cantSplit/>
          <w:trHeight w:val="1134"/>
          <w:jc w:val="center"/>
        </w:trPr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殡葬服务收费联合检查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自治区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民政厅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殡葬服务收费抽查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各级殡仪馆、殡仪服务站、公墓、其他殡葬服务单位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《殡葬管理条例》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《广西壮族自治区殡葬管理条例》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《关于重新规范我区殡葬服务收费的通知》（桂价费〔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2009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420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号）</w:t>
            </w:r>
          </w:p>
        </w:tc>
      </w:tr>
      <w:tr w:rsidR="0089416C" w:rsidTr="004B399F">
        <w:trPr>
          <w:cantSplit/>
          <w:trHeight w:val="834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自治区市场监管局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殡葬服务收费抽查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县级以上市场监管部门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《价格法》</w:t>
            </w:r>
          </w:p>
        </w:tc>
      </w:tr>
      <w:tr w:rsidR="0089416C" w:rsidTr="004B399F">
        <w:trPr>
          <w:cantSplit/>
          <w:trHeight w:val="1134"/>
          <w:jc w:val="center"/>
        </w:trPr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制造、销售不符合国家技术标准的殡葬设备、封建迷信殡葬用品或者在火葬区制造、销售棺材等土葬用品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自治区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民政厅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制造、销售不符合国家技术标准的殡葬设备、封建迷信殡葬用品或者在火葬区制造、销售棺材等土葬用品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登记从事殡葬设备、用品的生产经营单位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《殡葬管理条例》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《广西壮族自治区殡葬管理条例》</w:t>
            </w:r>
          </w:p>
        </w:tc>
      </w:tr>
      <w:tr w:rsidR="0089416C" w:rsidTr="004B399F">
        <w:trPr>
          <w:cantSplit/>
          <w:trHeight w:val="851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自治区市场监管局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殡葬设备、用品价格抽查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县级以上市场监管部门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《价格法》</w:t>
            </w:r>
          </w:p>
        </w:tc>
      </w:tr>
      <w:tr w:rsidR="0089416C" w:rsidTr="004B399F">
        <w:trPr>
          <w:cantSplit/>
          <w:trHeight w:val="1474"/>
          <w:jc w:val="center"/>
        </w:trPr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对特种设备使用单位的监督检查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自治区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民政厅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特种设备使用单位监督检查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依法办理登记，为老年人提供全日集中住宿和照料护理服务，床位数在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张以上的养老机构，包括营利性养老机构和非营利性养老机构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县级以上民政部门部门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《中华人民共和国特种设备安全法》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《特种设备安全监察条例》</w:t>
            </w:r>
          </w:p>
        </w:tc>
      </w:tr>
      <w:tr w:rsidR="0089416C" w:rsidTr="004B399F">
        <w:trPr>
          <w:cantSplit/>
          <w:trHeight w:val="1474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自治区市场监管局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特种设备使用单位监督检查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县级以上市场监管部门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《中华人民共和国特种设备安全法》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《特种设备安全监察条例》</w:t>
            </w:r>
          </w:p>
        </w:tc>
      </w:tr>
      <w:tr w:rsidR="0089416C" w:rsidTr="004B399F">
        <w:trPr>
          <w:cantSplit/>
          <w:trHeight w:val="1651"/>
          <w:jc w:val="center"/>
        </w:trPr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养老机构消防安全联合执法检查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自治区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民政厅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养老机构遵守消防法律、法规情况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依法办理登记，为老年人提供全日集中住宿和照料护理服务，床位数在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张以上的养老机构，包括营利性养老机构和非营利性养老机构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县级以上民政部门部门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《中华人民共和国消防法》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《广西壮族自治区实施〈中华人民共和国消防法〉办法》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《养老机构消防安全管理规定》</w:t>
            </w:r>
          </w:p>
        </w:tc>
      </w:tr>
      <w:tr w:rsidR="0089416C" w:rsidTr="004B399F">
        <w:trPr>
          <w:cantSplit/>
          <w:trHeight w:val="1689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自治区消防救援总队</w:t>
            </w: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县级以上消防救援机构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</w:tr>
    </w:tbl>
    <w:p w:rsidR="0089416C" w:rsidRDefault="0089416C" w:rsidP="0089416C">
      <w:pPr>
        <w:adjustRightInd w:val="0"/>
        <w:snapToGrid w:val="0"/>
        <w:spacing w:line="500" w:lineRule="exact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89416C" w:rsidRDefault="0089416C" w:rsidP="0089416C">
      <w:pPr>
        <w:adjustRightInd w:val="0"/>
        <w:snapToGrid w:val="0"/>
        <w:spacing w:line="500" w:lineRule="exact"/>
        <w:ind w:firstLineChars="20" w:firstLine="64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/>
          <w:snapToGrid w:val="0"/>
          <w:kern w:val="0"/>
          <w:sz w:val="32"/>
          <w:szCs w:val="32"/>
        </w:rPr>
        <w:br w:type="page"/>
      </w: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lastRenderedPageBreak/>
        <w:t>表</w:t>
      </w:r>
      <w:r>
        <w:rPr>
          <w:rFonts w:ascii="方正黑体_GBK" w:eastAsia="方正黑体_GBK"/>
          <w:snapToGrid w:val="0"/>
          <w:kern w:val="0"/>
          <w:sz w:val="32"/>
          <w:szCs w:val="32"/>
        </w:rPr>
        <w:t>2</w:t>
      </w:r>
    </w:p>
    <w:p w:rsidR="0089416C" w:rsidRDefault="0089416C" w:rsidP="0089416C">
      <w:pPr>
        <w:adjustRightInd w:val="0"/>
        <w:snapToGrid w:val="0"/>
        <w:spacing w:afterLines="50" w:after="156" w:line="500" w:lineRule="exact"/>
        <w:jc w:val="center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小标宋_GBK" w:eastAsia="方正小标宋_GBK"/>
          <w:snapToGrid w:val="0"/>
          <w:kern w:val="0"/>
          <w:sz w:val="44"/>
          <w:szCs w:val="32"/>
        </w:rPr>
        <w:t>202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4</w:t>
      </w:r>
      <w:r>
        <w:rPr>
          <w:rFonts w:ascii="方正小标宋_GBK" w:eastAsia="方正小标宋_GBK"/>
          <w:snapToGrid w:val="0"/>
          <w:kern w:val="0"/>
          <w:sz w:val="44"/>
          <w:szCs w:val="32"/>
        </w:rPr>
        <w:t>年民政部门联合抽查计划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9"/>
        <w:gridCol w:w="2353"/>
        <w:gridCol w:w="1247"/>
        <w:gridCol w:w="2325"/>
        <w:gridCol w:w="2665"/>
        <w:gridCol w:w="1129"/>
        <w:gridCol w:w="1219"/>
        <w:gridCol w:w="1172"/>
        <w:gridCol w:w="1022"/>
      </w:tblGrid>
      <w:tr w:rsidR="0089416C" w:rsidTr="004B399F">
        <w:trPr>
          <w:cantSplit/>
          <w:trHeight w:val="608"/>
          <w:tblHeader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事项序号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抽查领域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联合部门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抽查事项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检查对象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检查主体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比例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检查日期</w:t>
            </w:r>
          </w:p>
        </w:tc>
      </w:tr>
      <w:tr w:rsidR="0089416C" w:rsidTr="004B399F">
        <w:trPr>
          <w:cantSplit/>
          <w:trHeight w:val="854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殡葬服务收费联合检查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自治区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民政厅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殡葬服务收费抽查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各级殡仪馆、殡仪服务站、公墓、其他殡葬服务单位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50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%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  <w:tr w:rsidR="0089416C" w:rsidTr="004B399F">
        <w:trPr>
          <w:cantSplit/>
          <w:trHeight w:val="854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自治区市场监管局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殡葬服务收费抽查</w:t>
            </w: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县级以上市场监管部门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1298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对特种设备使用单位的监督检查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自治区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民政厅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特种设备使用单位监督检查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依法办理登记，为老年人提供全日集中住宿和照料护理服务，床位数在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张以上的养老机构，包括营利性养老机构和非营利性养老机构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县级以上民政部门部门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%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  <w:tr w:rsidR="0089416C" w:rsidTr="004B399F">
        <w:trPr>
          <w:cantSplit/>
          <w:trHeight w:val="1298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自治区市场监管局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特种设备使用单位监督检查</w:t>
            </w: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县级以上市场监管部门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1298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消防安全联合执法检查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自治区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民政厅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养老机构消防安全情况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依法办理登记，为老年人提供全日集中住宿和照料护理服务，床位数在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张以上的养老机构，包括营利性养老机构和非营利性养老机构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县级以上民政部门部门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由各市、县级民政部门和消防救援机构结合辖区工作实际共同确定抽查比例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  <w:tr w:rsidR="0089416C" w:rsidTr="004B399F">
        <w:trPr>
          <w:cantSplit/>
          <w:trHeight w:val="1318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自治区消防救援总队</w:t>
            </w: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县级以上消防救援机构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</w:tbl>
    <w:p w:rsidR="0089416C" w:rsidRDefault="0089416C" w:rsidP="0089416C">
      <w:pPr>
        <w:adjustRightInd w:val="0"/>
        <w:snapToGrid w:val="0"/>
        <w:spacing w:line="500" w:lineRule="exac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/>
          <w:snapToGrid w:val="0"/>
          <w:kern w:val="0"/>
          <w:sz w:val="32"/>
          <w:szCs w:val="32"/>
        </w:rPr>
        <w:br w:type="page"/>
      </w: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lastRenderedPageBreak/>
        <w:t>表</w:t>
      </w:r>
      <w:r>
        <w:rPr>
          <w:rFonts w:ascii="方正黑体_GBK" w:eastAsia="方正黑体_GBK"/>
          <w:snapToGrid w:val="0"/>
          <w:kern w:val="0"/>
          <w:sz w:val="32"/>
          <w:szCs w:val="32"/>
        </w:rPr>
        <w:t>3</w:t>
      </w:r>
    </w:p>
    <w:p w:rsidR="0089416C" w:rsidRDefault="0089416C" w:rsidP="0089416C">
      <w:pPr>
        <w:adjustRightInd w:val="0"/>
        <w:snapToGrid w:val="0"/>
        <w:spacing w:afterLines="50" w:after="156"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/>
          <w:snapToGrid w:val="0"/>
          <w:kern w:val="0"/>
          <w:sz w:val="44"/>
          <w:szCs w:val="32"/>
        </w:rPr>
        <w:t>202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4</w:t>
      </w:r>
      <w:r>
        <w:rPr>
          <w:rFonts w:ascii="方正小标宋_GBK" w:eastAsia="方正小标宋_GBK"/>
          <w:snapToGrid w:val="0"/>
          <w:kern w:val="0"/>
          <w:sz w:val="44"/>
          <w:szCs w:val="32"/>
        </w:rPr>
        <w:t>年民政部门随机抽查事项清单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5"/>
        <w:gridCol w:w="1644"/>
        <w:gridCol w:w="3586"/>
        <w:gridCol w:w="1231"/>
        <w:gridCol w:w="1021"/>
        <w:gridCol w:w="1021"/>
        <w:gridCol w:w="1021"/>
        <w:gridCol w:w="3742"/>
      </w:tblGrid>
      <w:tr w:rsidR="0089416C" w:rsidTr="004B399F">
        <w:trPr>
          <w:cantSplit/>
          <w:trHeight w:val="454"/>
          <w:tblHeader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抽查项目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检查对象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事项类型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检查主体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检查依据</w:t>
            </w:r>
          </w:p>
        </w:tc>
      </w:tr>
      <w:tr w:rsidR="0089416C" w:rsidTr="004B399F">
        <w:trPr>
          <w:cantSplit/>
          <w:trHeight w:val="454"/>
          <w:tblHeader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抽查类别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抽查事项</w:t>
            </w: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222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殡葬服务收费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殡葬服务收费抽查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各级殡仪馆、殡仪服务站、公墓、其他殡葬服务单位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自治区民政厅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市场监管局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《殡葬管理条例》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《广西壮族自治区殡葬管理条例》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《关于重新规范我区殡葬服务收费的通知》（桂价费〔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2009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420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号）</w:t>
            </w:r>
          </w:p>
        </w:tc>
      </w:tr>
      <w:tr w:rsidR="0089416C" w:rsidTr="004B399F">
        <w:trPr>
          <w:cantSplit/>
          <w:trHeight w:val="184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公墓墓穴占地面积超标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公墓墓穴占地面积超标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各公墓服务机构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自治区民政厅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《殡葬管理条例》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《广西壮族自治区殡葬管理条例》</w:t>
            </w:r>
          </w:p>
        </w:tc>
      </w:tr>
      <w:tr w:rsidR="0089416C" w:rsidTr="004B399F">
        <w:trPr>
          <w:cantSplit/>
          <w:trHeight w:val="272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制造、销售不符合国家技术标准的殡葬设备、封建迷信殡葬用品或者在火葬区制造、销售棺材等土葬用品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制造、销售不符合国家技术标准的殡葬设备、封建迷信殡葬用品或者在火葬区制造、销售棺材等土葬用品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登记从事殡葬设备、用品的生产经营单位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自治区民政厅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市场监管局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《殡葬管理条例》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《广西壮族自治区殡葬管理条例》</w:t>
            </w: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服务质量安全检查，安全标志使用情况的检查，养老护理员培训情况的检查，昼夜巡查、交接班制度实施情况的检查，老年人个人信息和监控内容保密制度实施情况的检查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防止兜售保健食品、药品措施的检查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依法办理登记，为老年人提供全日集中住宿和照料护理服务，床位数在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张以上的养老机构，包括营利性养老机构和非营利性养老机构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《中华人民共和国老年人权益保障法》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《中华人民共和国安全生产法》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《养老机构管理办法》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《养老机构服务安全基本规范》</w:t>
            </w:r>
          </w:p>
        </w:tc>
      </w:tr>
      <w:tr w:rsidR="0089416C" w:rsidTr="004B399F">
        <w:trPr>
          <w:cantSplit/>
          <w:trHeight w:val="65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5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污染织物单独清洗、消毒、处置情况的检查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65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6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老年人生活、活动区域禁止吸烟情况的检查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65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7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入住养老机构服务安全风险评估情况的检查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8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防噎食措施的检查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9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防食品药品误食措施的检查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10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防压疮措施的检查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11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防烫伤措施的检查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防坠床措施的检查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13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防跌倒措施的检查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14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防他伤和自伤措施的检查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15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防走失措施的检查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16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防文娱活动意外措施的检查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17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服务安全风险防范评价工作的检查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18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安全隐患排查整改情况的检查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19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安全教育开展情况的检查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资金安全监督检查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涉嫌非法集资行为的检查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依法办理登记，为老年人提供全日集中住宿和照料护理服务，床位数在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张以上的养老机构，包括营利性养老机构和非营利性养老机构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《防范和处置非法集资条例》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《养老机构管理办法》</w:t>
            </w: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21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预收费行为的检查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111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突发事件应对监督检查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制定突发事件应急预案，配备应急救援设备、设施，定期开展突发事件应急演练情况的检查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《养老机构管理办法》</w:t>
            </w:r>
          </w:p>
        </w:tc>
      </w:tr>
      <w:tr w:rsidR="0089416C" w:rsidTr="004B399F">
        <w:trPr>
          <w:cantSplit/>
          <w:trHeight w:val="83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从业人员监督检查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从事医疗、康复、消防等服务的人员职业资格的检查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《养老机构管理办法》</w:t>
            </w:r>
          </w:p>
        </w:tc>
      </w:tr>
      <w:tr w:rsidR="0089416C" w:rsidTr="004B399F">
        <w:trPr>
          <w:cantSplit/>
          <w:trHeight w:val="1399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对特种设备使用单位的监督检查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特种设备使用单位监督检查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市场监管部门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《中华人民共和国特种设备安全法》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《特种设备安全监察条例》</w:t>
            </w:r>
          </w:p>
        </w:tc>
      </w:tr>
      <w:tr w:rsidR="0089416C" w:rsidTr="004B399F">
        <w:trPr>
          <w:cantSplit/>
          <w:trHeight w:val="170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消防安全联合执法检查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养老机构消防安全情况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、消防救援机构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《中华人民共和国消防法》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《广西壮族自治区实施〈中华人民共和国消防法〉办法》</w:t>
            </w:r>
          </w:p>
          <w:p w:rsidR="0089416C" w:rsidRDefault="0089416C" w:rsidP="004B399F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《养老机构消防安全管理规定》</w:t>
            </w:r>
          </w:p>
        </w:tc>
      </w:tr>
    </w:tbl>
    <w:p w:rsidR="0089416C" w:rsidRDefault="0089416C" w:rsidP="0089416C">
      <w:pPr>
        <w:adjustRightInd w:val="0"/>
        <w:snapToGrid w:val="0"/>
        <w:spacing w:line="500" w:lineRule="exact"/>
        <w:ind w:left="1918" w:hanging="960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89416C" w:rsidRDefault="0089416C" w:rsidP="0089416C">
      <w:pPr>
        <w:adjustRightInd w:val="0"/>
        <w:snapToGrid w:val="0"/>
        <w:spacing w:line="500" w:lineRule="exact"/>
        <w:ind w:firstLineChars="20" w:firstLine="88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snapToGrid w:val="0"/>
          <w:kern w:val="0"/>
          <w:sz w:val="44"/>
          <w:szCs w:val="44"/>
        </w:rPr>
        <w:br w:type="page"/>
      </w: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lastRenderedPageBreak/>
        <w:t>表</w:t>
      </w:r>
      <w:r>
        <w:rPr>
          <w:rFonts w:ascii="方正黑体_GBK" w:eastAsia="方正黑体_GBK"/>
          <w:snapToGrid w:val="0"/>
          <w:kern w:val="0"/>
          <w:sz w:val="32"/>
          <w:szCs w:val="32"/>
        </w:rPr>
        <w:t>4</w:t>
      </w:r>
    </w:p>
    <w:p w:rsidR="0089416C" w:rsidRDefault="0089416C" w:rsidP="0089416C">
      <w:pPr>
        <w:adjustRightInd w:val="0"/>
        <w:snapToGrid w:val="0"/>
        <w:spacing w:afterLines="50" w:after="156" w:line="500" w:lineRule="exact"/>
        <w:jc w:val="center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小标宋_GBK" w:eastAsia="方正小标宋_GBK"/>
          <w:snapToGrid w:val="0"/>
          <w:kern w:val="0"/>
          <w:sz w:val="44"/>
          <w:szCs w:val="32"/>
        </w:rPr>
        <w:t>202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4</w:t>
      </w:r>
      <w:r>
        <w:rPr>
          <w:rFonts w:ascii="方正小标宋_GBK" w:eastAsia="方正小标宋_GBK"/>
          <w:snapToGrid w:val="0"/>
          <w:kern w:val="0"/>
          <w:sz w:val="44"/>
          <w:szCs w:val="32"/>
        </w:rPr>
        <w:t>年民政部门随机抽查计划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552"/>
        <w:gridCol w:w="3799"/>
        <w:gridCol w:w="1871"/>
        <w:gridCol w:w="1021"/>
        <w:gridCol w:w="1021"/>
        <w:gridCol w:w="1021"/>
        <w:gridCol w:w="624"/>
        <w:gridCol w:w="1361"/>
      </w:tblGrid>
      <w:tr w:rsidR="0089416C" w:rsidTr="004B399F">
        <w:trPr>
          <w:cantSplit/>
          <w:trHeight w:val="425"/>
          <w:tblHeader/>
          <w:jc w:val="center"/>
        </w:trPr>
        <w:tc>
          <w:tcPr>
            <w:tcW w:w="595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351" w:type="dxa"/>
            <w:gridSpan w:val="2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抽查项目</w:t>
            </w:r>
          </w:p>
        </w:tc>
        <w:tc>
          <w:tcPr>
            <w:tcW w:w="187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检查对象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事项类型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检查主体</w:t>
            </w:r>
          </w:p>
        </w:tc>
        <w:tc>
          <w:tcPr>
            <w:tcW w:w="624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检查比例</w:t>
            </w:r>
          </w:p>
        </w:tc>
        <w:tc>
          <w:tcPr>
            <w:tcW w:w="136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检查时间</w:t>
            </w:r>
          </w:p>
        </w:tc>
      </w:tr>
      <w:tr w:rsidR="0089416C" w:rsidTr="004B399F">
        <w:trPr>
          <w:cantSplit/>
          <w:trHeight w:val="425"/>
          <w:tblHeader/>
          <w:jc w:val="center"/>
        </w:trPr>
        <w:tc>
          <w:tcPr>
            <w:tcW w:w="595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2552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抽查类别</w:t>
            </w: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  <w:lang w:bidi="ar"/>
              </w:rPr>
              <w:t>抽查事项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934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2552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殡葬服务收费</w:t>
            </w: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殡葬服务收费抽查</w:t>
            </w:r>
          </w:p>
        </w:tc>
        <w:tc>
          <w:tcPr>
            <w:tcW w:w="187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各级殡仪馆、殡仪服务站、公墓、其他殡葬服务单位</w:t>
            </w: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自治区民政厅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市场监管局</w:t>
            </w:r>
          </w:p>
        </w:tc>
        <w:tc>
          <w:tcPr>
            <w:tcW w:w="624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50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%</w:t>
            </w:r>
          </w:p>
        </w:tc>
        <w:tc>
          <w:tcPr>
            <w:tcW w:w="136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  <w:tr w:rsidR="0089416C" w:rsidTr="004B399F">
        <w:trPr>
          <w:cantSplit/>
          <w:trHeight w:val="454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服务质量安全检查，安全标志使用情况的检查，养老护理员培训情况的检查，昼夜巡查、交接班制度实施情况的检查，老年人个人信息和监控内容保密制度实施情况的检查</w:t>
            </w: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防止兜售保健食品、药品措施的检查</w:t>
            </w:r>
          </w:p>
        </w:tc>
        <w:tc>
          <w:tcPr>
            <w:tcW w:w="187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依法办理登记，为老年人提供全日集中住宿和照料护理服务，床位数在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张以上的养老机构，包括营利性养老机构和非营利性养老机构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624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%</w:t>
            </w:r>
          </w:p>
        </w:tc>
        <w:tc>
          <w:tcPr>
            <w:tcW w:w="136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  <w:tr w:rsidR="0089416C" w:rsidTr="004B399F">
        <w:trPr>
          <w:cantSplit/>
          <w:trHeight w:val="65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污染织物单独清洗、消毒、处置情况的检查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65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老年人生活、活动区域禁止吸烟情况的检查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65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5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入住养老机构服务安全风险评估情况的检查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6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防噎食措施的检查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7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防食品药品误食措施的检查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8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防压疮措施的检查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9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防烫伤措施的检查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防坠床措施的检查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11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防跌倒措施的检查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防他伤和自伤措施的检查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2552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服务质量安全检查，安全标志使用情况的检查，养老护理员培训情况的检查，昼夜巡查、交接班制度实施情况的检查，老年人个人信息和监控内容保密制度实施情况的检查</w:t>
            </w: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防走失措施的检查</w:t>
            </w:r>
          </w:p>
        </w:tc>
        <w:tc>
          <w:tcPr>
            <w:tcW w:w="187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依法办理登记，为老年人提供全日集中住宿和照料护理服务，床位数在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张以上的养老机构，包括营利性养老机构和非营利性养老机构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624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%</w:t>
            </w:r>
          </w:p>
        </w:tc>
        <w:tc>
          <w:tcPr>
            <w:tcW w:w="136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14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防文娱活动意外措施的检查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15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服务安全风险防范评价工作的检查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16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安全隐患排查整改情况的检查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17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安全教育开展情况的检查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18</w:t>
            </w:r>
          </w:p>
        </w:tc>
        <w:tc>
          <w:tcPr>
            <w:tcW w:w="2552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资金安全监督检查</w:t>
            </w: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涉嫌非法集资行为的检查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624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%</w:t>
            </w:r>
          </w:p>
        </w:tc>
        <w:tc>
          <w:tcPr>
            <w:tcW w:w="1361" w:type="dxa"/>
            <w:vMerge w:val="restart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  <w:tr w:rsidR="0089416C" w:rsidTr="004B399F">
        <w:trPr>
          <w:cantSplit/>
          <w:trHeight w:val="482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19</w:t>
            </w:r>
          </w:p>
        </w:tc>
        <w:tc>
          <w:tcPr>
            <w:tcW w:w="2552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预收费行为的检查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</w:tr>
      <w:tr w:rsidR="0089416C" w:rsidTr="004B399F">
        <w:trPr>
          <w:cantSplit/>
          <w:trHeight w:val="1066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20</w:t>
            </w:r>
          </w:p>
        </w:tc>
        <w:tc>
          <w:tcPr>
            <w:tcW w:w="2552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突发事件应对监督检查</w:t>
            </w: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制定突发事件应急预案，配备应急救援设备、设施，定期开展突发事件应急演练情况的检查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624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%</w:t>
            </w:r>
          </w:p>
        </w:tc>
        <w:tc>
          <w:tcPr>
            <w:tcW w:w="136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  <w:tr w:rsidR="0089416C" w:rsidTr="004B399F">
        <w:trPr>
          <w:cantSplit/>
          <w:trHeight w:val="680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21</w:t>
            </w:r>
          </w:p>
        </w:tc>
        <w:tc>
          <w:tcPr>
            <w:tcW w:w="2552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从业人员监督检查</w:t>
            </w: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从事医疗、康复、消防等服务的人员职业资格的检查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</w:p>
        </w:tc>
        <w:tc>
          <w:tcPr>
            <w:tcW w:w="624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%</w:t>
            </w:r>
          </w:p>
        </w:tc>
        <w:tc>
          <w:tcPr>
            <w:tcW w:w="136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  <w:tr w:rsidR="0089416C" w:rsidTr="004B399F">
        <w:trPr>
          <w:cantSplit/>
          <w:trHeight w:val="1287"/>
          <w:jc w:val="center"/>
        </w:trPr>
        <w:tc>
          <w:tcPr>
            <w:tcW w:w="595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22</w:t>
            </w:r>
          </w:p>
        </w:tc>
        <w:tc>
          <w:tcPr>
            <w:tcW w:w="2552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对特种设备使用单位的监督检查</w:t>
            </w:r>
          </w:p>
        </w:tc>
        <w:tc>
          <w:tcPr>
            <w:tcW w:w="3799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特种设备使用单位监督检查</w:t>
            </w:r>
          </w:p>
        </w:tc>
        <w:tc>
          <w:tcPr>
            <w:tcW w:w="1871" w:type="dxa"/>
            <w:vMerge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重点检查事项</w:t>
            </w: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实地检查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书面检查</w:t>
            </w:r>
          </w:p>
        </w:tc>
        <w:tc>
          <w:tcPr>
            <w:tcW w:w="102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县级以上民政部门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市场监管部门</w:t>
            </w:r>
          </w:p>
        </w:tc>
        <w:tc>
          <w:tcPr>
            <w:tcW w:w="624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%</w:t>
            </w:r>
          </w:p>
        </w:tc>
        <w:tc>
          <w:tcPr>
            <w:tcW w:w="1361" w:type="dxa"/>
            <w:vAlign w:val="center"/>
          </w:tcPr>
          <w:p w:rsidR="0089416C" w:rsidRDefault="0089416C" w:rsidP="004B399F">
            <w:pPr>
              <w:overflowPunct w:val="0"/>
              <w:adjustRightInd w:val="0"/>
              <w:snapToGrid w:val="0"/>
              <w:spacing w:line="290" w:lineRule="exact"/>
              <w:ind w:leftChars="-15" w:left="-31" w:rightChars="-15" w:right="-31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  <w:lang w:bidi="ar"/>
              </w:rPr>
              <w:t>日前</w:t>
            </w:r>
          </w:p>
        </w:tc>
      </w:tr>
    </w:tbl>
    <w:p w:rsidR="0089416C" w:rsidRDefault="0089416C" w:rsidP="0089416C">
      <w:pPr>
        <w:pStyle w:val="Style5"/>
        <w:adjustRightInd w:val="0"/>
        <w:snapToGrid w:val="0"/>
        <w:spacing w:line="100" w:lineRule="exact"/>
        <w:ind w:firstLineChars="0" w:firstLine="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</w:p>
    <w:p w:rsidR="0089416C" w:rsidRDefault="0089416C" w:rsidP="0089416C">
      <w:pPr>
        <w:pStyle w:val="Style5"/>
        <w:adjustRightInd w:val="0"/>
        <w:snapToGrid w:val="0"/>
        <w:spacing w:line="100" w:lineRule="exact"/>
        <w:ind w:firstLineChars="0" w:firstLine="0"/>
        <w:rPr>
          <w:rFonts w:ascii="方正仿宋_GBK" w:eastAsia="方正仿宋_GBK"/>
          <w:snapToGrid w:val="0"/>
          <w:kern w:val="0"/>
          <w:sz w:val="32"/>
          <w:szCs w:val="32"/>
        </w:rPr>
      </w:pPr>
    </w:p>
    <w:p w:rsidR="0089416C" w:rsidRDefault="0089416C" w:rsidP="0089416C">
      <w:pPr>
        <w:rPr>
          <w:snapToGrid w:val="0"/>
          <w:kern w:val="0"/>
        </w:rPr>
      </w:pPr>
    </w:p>
    <w:p w:rsidR="0089416C" w:rsidRDefault="0089416C" w:rsidP="0089416C"/>
    <w:p w:rsidR="002539C7" w:rsidRDefault="002539C7">
      <w:bookmarkStart w:id="0" w:name="_GoBack"/>
      <w:bookmarkEnd w:id="0"/>
    </w:p>
    <w:sectPr w:rsidR="002539C7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F2" w:rsidRDefault="001B44F2" w:rsidP="0089416C">
      <w:r>
        <w:separator/>
      </w:r>
    </w:p>
  </w:endnote>
  <w:endnote w:type="continuationSeparator" w:id="0">
    <w:p w:rsidR="001B44F2" w:rsidRDefault="001B44F2" w:rsidP="0089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44F2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10" w:rightChars="100" w:right="210"/>
      <w:jc w:val="left"/>
      <w:rPr>
        <w:rFonts w:ascii="宋体" w:hAnsi="宋体" w:cs="等线"/>
        <w:sz w:val="28"/>
        <w:szCs w:val="28"/>
      </w:rPr>
    </w:pPr>
    <w:r>
      <w:rPr>
        <w:rFonts w:ascii="宋体" w:hAnsi="宋体" w:cs="等线" w:hint="eastAsia"/>
        <w:sz w:val="28"/>
        <w:szCs w:val="28"/>
      </w:rPr>
      <w:t>—</w:t>
    </w:r>
    <w:r>
      <w:rPr>
        <w:rFonts w:ascii="宋体" w:hAnsi="宋体" w:cs="等线" w:hint="eastAsia"/>
        <w:sz w:val="28"/>
        <w:szCs w:val="28"/>
      </w:rPr>
      <w:t xml:space="preserve"> </w:t>
    </w:r>
    <w:r>
      <w:rPr>
        <w:rFonts w:ascii="宋体" w:hAnsi="宋体" w:cs="等线"/>
        <w:sz w:val="28"/>
        <w:szCs w:val="28"/>
      </w:rPr>
      <w:fldChar w:fldCharType="begin"/>
    </w:r>
    <w:r>
      <w:rPr>
        <w:rFonts w:ascii="宋体" w:hAnsi="宋体" w:cs="等线"/>
        <w:sz w:val="28"/>
        <w:szCs w:val="28"/>
      </w:rPr>
      <w:instrText xml:space="preserve">PAGE  </w:instrText>
    </w:r>
    <w:r>
      <w:rPr>
        <w:rFonts w:ascii="宋体" w:hAnsi="宋体" w:cs="等线"/>
        <w:sz w:val="28"/>
        <w:szCs w:val="28"/>
      </w:rPr>
      <w:fldChar w:fldCharType="separate"/>
    </w:r>
    <w:r>
      <w:rPr>
        <w:rFonts w:ascii="宋体" w:hAnsi="宋体" w:cs="等线"/>
        <w:sz w:val="28"/>
        <w:szCs w:val="28"/>
      </w:rPr>
      <w:t>2</w:t>
    </w:r>
    <w:r>
      <w:rPr>
        <w:rFonts w:ascii="宋体" w:hAnsi="宋体" w:cs="等线"/>
        <w:sz w:val="28"/>
        <w:szCs w:val="28"/>
      </w:rPr>
      <w:fldChar w:fldCharType="end"/>
    </w:r>
    <w:r>
      <w:rPr>
        <w:rFonts w:ascii="宋体" w:hAnsi="宋体" w:cs="等线" w:hint="eastAsia"/>
        <w:sz w:val="28"/>
        <w:szCs w:val="28"/>
      </w:rPr>
      <w:t xml:space="preserve"> </w:t>
    </w:r>
    <w:r>
      <w:rPr>
        <w:rFonts w:ascii="宋体" w:hAnsi="宋体" w:cs="等线" w:hint="eastAsia"/>
        <w:sz w:val="28"/>
        <w:szCs w:val="28"/>
      </w:rPr>
      <w:t>—</w:t>
    </w:r>
  </w:p>
  <w:p w:rsidR="00000000" w:rsidRDefault="001B44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44F2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10" w:rightChars="100" w:right="210"/>
      <w:jc w:val="right"/>
      <w:rPr>
        <w:rFonts w:ascii="宋体" w:hAnsi="宋体" w:cs="等线"/>
        <w:sz w:val="28"/>
        <w:szCs w:val="28"/>
      </w:rPr>
    </w:pPr>
    <w:r>
      <w:rPr>
        <w:rFonts w:ascii="宋体" w:hAnsi="宋体" w:cs="等线" w:hint="eastAsia"/>
        <w:sz w:val="28"/>
        <w:szCs w:val="28"/>
      </w:rPr>
      <w:t>—</w:t>
    </w:r>
    <w:r>
      <w:rPr>
        <w:rFonts w:ascii="宋体" w:hAnsi="宋体" w:cs="等线" w:hint="eastAsia"/>
        <w:sz w:val="28"/>
        <w:szCs w:val="28"/>
      </w:rPr>
      <w:t xml:space="preserve"> </w:t>
    </w:r>
    <w:r>
      <w:rPr>
        <w:rFonts w:ascii="宋体" w:hAnsi="宋体" w:cs="等线"/>
        <w:sz w:val="28"/>
        <w:szCs w:val="28"/>
      </w:rPr>
      <w:fldChar w:fldCharType="begin"/>
    </w:r>
    <w:r>
      <w:rPr>
        <w:rFonts w:ascii="宋体" w:hAnsi="宋体" w:cs="等线"/>
        <w:sz w:val="28"/>
        <w:szCs w:val="28"/>
      </w:rPr>
      <w:instrText xml:space="preserve">PAGE  </w:instrText>
    </w:r>
    <w:r>
      <w:rPr>
        <w:rFonts w:ascii="宋体" w:hAnsi="宋体" w:cs="等线"/>
        <w:sz w:val="28"/>
        <w:szCs w:val="28"/>
      </w:rPr>
      <w:fldChar w:fldCharType="separate"/>
    </w:r>
    <w:r w:rsidR="0089416C">
      <w:rPr>
        <w:rFonts w:ascii="宋体" w:hAnsi="宋体" w:cs="等线"/>
        <w:noProof/>
        <w:sz w:val="28"/>
        <w:szCs w:val="28"/>
      </w:rPr>
      <w:t>1</w:t>
    </w:r>
    <w:r>
      <w:rPr>
        <w:rFonts w:ascii="宋体" w:hAnsi="宋体" w:cs="等线"/>
        <w:sz w:val="28"/>
        <w:szCs w:val="28"/>
      </w:rPr>
      <w:fldChar w:fldCharType="end"/>
    </w:r>
    <w:r>
      <w:rPr>
        <w:rFonts w:ascii="宋体" w:hAnsi="宋体" w:cs="等线" w:hint="eastAsia"/>
        <w:sz w:val="28"/>
        <w:szCs w:val="28"/>
      </w:rPr>
      <w:t xml:space="preserve"> </w:t>
    </w:r>
    <w:r>
      <w:rPr>
        <w:rFonts w:ascii="宋体" w:hAnsi="宋体" w:cs="等线" w:hint="eastAsia"/>
        <w:sz w:val="28"/>
        <w:szCs w:val="28"/>
      </w:rPr>
      <w:t>—</w:t>
    </w:r>
  </w:p>
  <w:p w:rsidR="00000000" w:rsidRDefault="001B44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F2" w:rsidRDefault="001B44F2" w:rsidP="0089416C">
      <w:r>
        <w:separator/>
      </w:r>
    </w:p>
  </w:footnote>
  <w:footnote w:type="continuationSeparator" w:id="0">
    <w:p w:rsidR="001B44F2" w:rsidRDefault="001B44F2" w:rsidP="00894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44F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44F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C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058C"/>
    <w:rsid w:val="001A11DE"/>
    <w:rsid w:val="001A3E09"/>
    <w:rsid w:val="001A5963"/>
    <w:rsid w:val="001A5CBE"/>
    <w:rsid w:val="001B44F2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416C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5"/>
    <w:qFormat/>
    <w:rsid w:val="0089416C"/>
    <w:pPr>
      <w:widowControl w:val="0"/>
      <w:jc w:val="both"/>
    </w:pPr>
    <w:rPr>
      <w:rFonts w:ascii="Agency FB" w:eastAsia="宋体" w:hAnsi="Agency FB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9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16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94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16C"/>
    <w:rPr>
      <w:sz w:val="18"/>
      <w:szCs w:val="18"/>
    </w:rPr>
  </w:style>
  <w:style w:type="paragraph" w:customStyle="1" w:styleId="Style5">
    <w:name w:val="_Style 5"/>
    <w:qFormat/>
    <w:rsid w:val="0089416C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5"/>
    <w:qFormat/>
    <w:rsid w:val="0089416C"/>
    <w:pPr>
      <w:widowControl w:val="0"/>
      <w:jc w:val="both"/>
    </w:pPr>
    <w:rPr>
      <w:rFonts w:ascii="Agency FB" w:eastAsia="宋体" w:hAnsi="Agency FB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9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16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94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16C"/>
    <w:rPr>
      <w:sz w:val="18"/>
      <w:szCs w:val="18"/>
    </w:rPr>
  </w:style>
  <w:style w:type="paragraph" w:customStyle="1" w:styleId="Style5">
    <w:name w:val="_Style 5"/>
    <w:qFormat/>
    <w:rsid w:val="0089416C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2024-09-19T02:23:00Z</dcterms:created>
  <dcterms:modified xsi:type="dcterms:W3CDTF">2024-09-19T02:23:00Z</dcterms:modified>
</cp:coreProperties>
</file>