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FB" w:rsidRDefault="00D207FB" w:rsidP="00D207FB">
      <w:pPr>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D207FB" w:rsidRDefault="00D207FB" w:rsidP="00D207FB">
      <w:pPr>
        <w:spacing w:line="380" w:lineRule="exact"/>
        <w:ind w:firstLineChars="200" w:firstLine="640"/>
        <w:rPr>
          <w:rFonts w:ascii="黑体" w:eastAsia="黑体" w:hAnsi="黑体" w:cs="黑体" w:hint="eastAsia"/>
          <w:color w:val="000000"/>
          <w:sz w:val="32"/>
          <w:szCs w:val="32"/>
        </w:rPr>
      </w:pPr>
    </w:p>
    <w:p w:rsidR="00D207FB" w:rsidRDefault="00D207FB" w:rsidP="00D207FB">
      <w:pPr>
        <w:spacing w:line="600" w:lineRule="exact"/>
        <w:jc w:val="center"/>
        <w:rPr>
          <w:rFonts w:ascii="黑体" w:eastAsia="黑体" w:hAnsi="黑体" w:cs="黑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现有民办学校分类登记部门责任清单</w:t>
      </w:r>
    </w:p>
    <w:bookmarkEnd w:id="0"/>
    <w:p w:rsidR="00D207FB" w:rsidRDefault="00D207FB" w:rsidP="00D207FB">
      <w:pPr>
        <w:rPr>
          <w:color w:val="000000"/>
          <w:sz w:val="24"/>
        </w:rPr>
      </w:pPr>
    </w:p>
    <w:tbl>
      <w:tblPr>
        <w:tblW w:w="10458" w:type="dxa"/>
        <w:jc w:val="center"/>
        <w:tblCellMar>
          <w:left w:w="0" w:type="dxa"/>
          <w:right w:w="0" w:type="dxa"/>
        </w:tblCellMar>
        <w:tblLook w:val="0000" w:firstRow="0" w:lastRow="0" w:firstColumn="0" w:lastColumn="0" w:noHBand="0" w:noVBand="0"/>
      </w:tblPr>
      <w:tblGrid>
        <w:gridCol w:w="935"/>
        <w:gridCol w:w="1672"/>
        <w:gridCol w:w="7851"/>
      </w:tblGrid>
      <w:tr w:rsidR="00D207FB" w:rsidTr="00DC2B0D">
        <w:trPr>
          <w:trHeight w:val="396"/>
          <w:jc w:val="center"/>
        </w:trPr>
        <w:tc>
          <w:tcPr>
            <w:tcW w:w="935" w:type="dxa"/>
            <w:tcBorders>
              <w:top w:val="single" w:sz="4" w:space="0" w:color="auto"/>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b/>
                <w:bCs/>
                <w:color w:val="000000"/>
              </w:rPr>
            </w:pPr>
            <w:r>
              <w:rPr>
                <w:rFonts w:ascii="宋体" w:eastAsia="宋体" w:hAnsi="宋体" w:cs="宋体" w:hint="eastAsia"/>
                <w:b/>
                <w:bCs/>
                <w:color w:val="000000"/>
              </w:rPr>
              <w:t>序号</w:t>
            </w:r>
          </w:p>
        </w:tc>
        <w:tc>
          <w:tcPr>
            <w:tcW w:w="1672" w:type="dxa"/>
            <w:tcBorders>
              <w:top w:val="single" w:sz="4" w:space="0" w:color="auto"/>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b/>
                <w:bCs/>
                <w:color w:val="000000"/>
              </w:rPr>
            </w:pPr>
            <w:r>
              <w:rPr>
                <w:rFonts w:ascii="宋体" w:eastAsia="宋体" w:hAnsi="宋体" w:cs="宋体" w:hint="eastAsia"/>
                <w:b/>
                <w:bCs/>
                <w:color w:val="000000"/>
              </w:rPr>
              <w:t>部门</w:t>
            </w:r>
          </w:p>
        </w:tc>
        <w:tc>
          <w:tcPr>
            <w:tcW w:w="7851" w:type="dxa"/>
            <w:tcBorders>
              <w:top w:val="single" w:sz="4" w:space="0" w:color="auto"/>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b/>
                <w:bCs/>
                <w:color w:val="000000"/>
              </w:rPr>
            </w:pPr>
            <w:r>
              <w:rPr>
                <w:rFonts w:ascii="宋体" w:eastAsia="宋体" w:hAnsi="宋体" w:cs="宋体" w:hint="eastAsia"/>
                <w:b/>
                <w:bCs/>
                <w:color w:val="000000"/>
              </w:rPr>
              <w:t>责任清单</w:t>
            </w:r>
          </w:p>
        </w:tc>
      </w:tr>
      <w:tr w:rsidR="00D207FB" w:rsidTr="00DC2B0D">
        <w:trPr>
          <w:trHeight w:val="396"/>
          <w:jc w:val="center"/>
        </w:trPr>
        <w:tc>
          <w:tcPr>
            <w:tcW w:w="935" w:type="dxa"/>
            <w:tcBorders>
              <w:top w:val="single" w:sz="4" w:space="0" w:color="auto"/>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1</w:t>
            </w:r>
          </w:p>
        </w:tc>
        <w:tc>
          <w:tcPr>
            <w:tcW w:w="1672" w:type="dxa"/>
            <w:tcBorders>
              <w:top w:val="single" w:sz="4" w:space="0" w:color="auto"/>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教育</w:t>
            </w:r>
          </w:p>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或行政审批</w:t>
            </w:r>
          </w:p>
        </w:tc>
        <w:tc>
          <w:tcPr>
            <w:tcW w:w="7851" w:type="dxa"/>
            <w:tcBorders>
              <w:top w:val="single" w:sz="4" w:space="0" w:color="auto"/>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1.现有民办学校选择</w:t>
            </w:r>
            <w:proofErr w:type="gramStart"/>
            <w:r>
              <w:rPr>
                <w:rFonts w:ascii="宋体" w:eastAsia="宋体" w:hAnsi="宋体" w:cs="宋体" w:hint="eastAsia"/>
                <w:color w:val="000000"/>
              </w:rPr>
              <w:t>登记非</w:t>
            </w:r>
            <w:proofErr w:type="gramEnd"/>
            <w:r>
              <w:rPr>
                <w:rFonts w:ascii="宋体" w:eastAsia="宋体" w:hAnsi="宋体" w:cs="宋体" w:hint="eastAsia"/>
                <w:color w:val="000000"/>
              </w:rPr>
              <w:t>营利性民办学校的申请批复、办学许可证换发;</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2.现有民办学校选择登记营利性民办学校的申请批复、过渡期办学许可证、正式办学许可证换发;</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3.指导民办学校做好财务清算;</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4.联合民政或党委编办、财政、税务做好举办者奖励和剩余资产处置;</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5.做好学校选择登记期间舆情掌控。</w:t>
            </w:r>
          </w:p>
        </w:tc>
      </w:tr>
      <w:tr w:rsidR="00D207FB" w:rsidTr="00DC2B0D">
        <w:trPr>
          <w:trHeight w:val="853"/>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2</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人社</w:t>
            </w:r>
          </w:p>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或行政审批</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1.负责职业技能</w:t>
            </w:r>
            <w:proofErr w:type="gramStart"/>
            <w:r>
              <w:rPr>
                <w:rFonts w:ascii="宋体" w:eastAsia="宋体" w:hAnsi="宋体" w:cs="宋体" w:hint="eastAsia"/>
                <w:color w:val="000000"/>
              </w:rPr>
              <w:t>类现有</w:t>
            </w:r>
            <w:proofErr w:type="gramEnd"/>
            <w:r>
              <w:rPr>
                <w:rFonts w:ascii="宋体" w:eastAsia="宋体" w:hAnsi="宋体" w:cs="宋体" w:hint="eastAsia"/>
                <w:color w:val="000000"/>
              </w:rPr>
              <w:t>民办学校选择</w:t>
            </w:r>
            <w:proofErr w:type="gramStart"/>
            <w:r>
              <w:rPr>
                <w:rFonts w:ascii="宋体" w:eastAsia="宋体" w:hAnsi="宋体" w:cs="宋体" w:hint="eastAsia"/>
                <w:color w:val="000000"/>
              </w:rPr>
              <w:t>登记非</w:t>
            </w:r>
            <w:proofErr w:type="gramEnd"/>
            <w:r>
              <w:rPr>
                <w:rFonts w:ascii="宋体" w:eastAsia="宋体" w:hAnsi="宋体" w:cs="宋体" w:hint="eastAsia"/>
                <w:color w:val="000000"/>
              </w:rPr>
              <w:t>营利性民办学校的申请批复、办学许可证换发;</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2.负责职业技能</w:t>
            </w:r>
            <w:proofErr w:type="gramStart"/>
            <w:r>
              <w:rPr>
                <w:rFonts w:ascii="宋体" w:eastAsia="宋体" w:hAnsi="宋体" w:cs="宋体" w:hint="eastAsia"/>
                <w:color w:val="000000"/>
              </w:rPr>
              <w:t>类现有</w:t>
            </w:r>
            <w:proofErr w:type="gramEnd"/>
            <w:r>
              <w:rPr>
                <w:rFonts w:ascii="宋体" w:eastAsia="宋体" w:hAnsi="宋体" w:cs="宋体" w:hint="eastAsia"/>
                <w:color w:val="000000"/>
              </w:rPr>
              <w:t>民办学校选择登记营利性民办学校的申请批复、过渡期办学许可证、正式办学许可证换发;</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3.指导负责职业技能类民办学校做好财务清算;</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4.联合民政或党委编办、财政、税务做好举办者奖励和剩余资产处置;</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5.做好选择登记过程中教职工社会保险、劳动关系等的转移延续；</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6.做好学校选择登记期间舆情掌控。</w:t>
            </w:r>
          </w:p>
        </w:tc>
      </w:tr>
      <w:tr w:rsidR="00D207FB" w:rsidTr="00DC2B0D">
        <w:trPr>
          <w:trHeight w:val="853"/>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3</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党委编办</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1.选择登记为非营利性且符合民办事业单位登记条件的民办学校法人登记;</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2.选择登记为营利性的现有民办学校(原登记为事业单位)的法人注销;</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3.指导民办学校做好财务清算;</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4.协助教育部门做好举办者奖励和剩余资产处置。</w:t>
            </w:r>
          </w:p>
        </w:tc>
      </w:tr>
      <w:tr w:rsidR="00D207FB" w:rsidTr="00DC2B0D">
        <w:trPr>
          <w:trHeight w:val="840"/>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4</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民政</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1.选择登记为非营利性的民办学校法人登记;</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2.选择登记为营利性的现有民办学校(登记为民办非企业单位)的法人注销;</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2.协助教育部门指导民办学校做好财务清算;</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3.协助教育部门做好剩余资产处置。</w:t>
            </w:r>
          </w:p>
        </w:tc>
      </w:tr>
      <w:tr w:rsidR="00D207FB" w:rsidTr="00DC2B0D">
        <w:trPr>
          <w:trHeight w:val="516"/>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5</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财政</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1.配合现有民办学校做好财务清算;</w:t>
            </w:r>
          </w:p>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2.协助教育部门做好举办者的奖励和剩余资产的处理。</w:t>
            </w:r>
          </w:p>
        </w:tc>
      </w:tr>
      <w:tr w:rsidR="00D207FB" w:rsidTr="00DC2B0D">
        <w:trPr>
          <w:trHeight w:val="565"/>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6</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自然资源</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指导市、县自然资源局依法办理土地出让审批和不动产登记。</w:t>
            </w:r>
          </w:p>
        </w:tc>
      </w:tr>
      <w:tr w:rsidR="00D207FB" w:rsidTr="00DC2B0D">
        <w:trPr>
          <w:trHeight w:val="445"/>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7</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市场监管或承担市场主体登记工作的部门</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负责营利性民办学校法人登记。</w:t>
            </w:r>
          </w:p>
        </w:tc>
      </w:tr>
      <w:tr w:rsidR="00D207FB" w:rsidTr="00DC2B0D">
        <w:trPr>
          <w:trHeight w:val="445"/>
          <w:jc w:val="center"/>
        </w:trPr>
        <w:tc>
          <w:tcPr>
            <w:tcW w:w="935" w:type="dxa"/>
            <w:tcBorders>
              <w:top w:val="nil"/>
              <w:left w:val="single" w:sz="4" w:space="0" w:color="auto"/>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8</w:t>
            </w:r>
          </w:p>
        </w:tc>
        <w:tc>
          <w:tcPr>
            <w:tcW w:w="1672"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jc w:val="center"/>
              <w:rPr>
                <w:rFonts w:ascii="宋体" w:eastAsia="宋体" w:hAnsi="宋体" w:cs="宋体" w:hint="eastAsia"/>
                <w:color w:val="000000"/>
              </w:rPr>
            </w:pPr>
            <w:r>
              <w:rPr>
                <w:rFonts w:ascii="宋体" w:eastAsia="宋体" w:hAnsi="宋体" w:cs="宋体" w:hint="eastAsia"/>
                <w:color w:val="000000"/>
              </w:rPr>
              <w:t>税务</w:t>
            </w:r>
          </w:p>
        </w:tc>
        <w:tc>
          <w:tcPr>
            <w:tcW w:w="7851" w:type="dxa"/>
            <w:tcBorders>
              <w:top w:val="nil"/>
              <w:left w:val="nil"/>
              <w:bottom w:val="single" w:sz="4" w:space="0" w:color="auto"/>
              <w:right w:val="single" w:sz="4" w:space="0" w:color="auto"/>
            </w:tcBorders>
            <w:tcMar>
              <w:left w:w="12" w:type="dxa"/>
              <w:right w:w="12" w:type="dxa"/>
            </w:tcMar>
            <w:vAlign w:val="center"/>
          </w:tcPr>
          <w:p w:rsidR="00D207FB" w:rsidRDefault="00D207FB" w:rsidP="00DC2B0D">
            <w:pPr>
              <w:pStyle w:val="a5"/>
              <w:spacing w:beforeAutospacing="0" w:afterAutospacing="0" w:line="320" w:lineRule="exact"/>
              <w:rPr>
                <w:rFonts w:ascii="宋体" w:eastAsia="宋体" w:hAnsi="宋体" w:cs="宋体" w:hint="eastAsia"/>
                <w:color w:val="000000"/>
              </w:rPr>
            </w:pPr>
            <w:r>
              <w:rPr>
                <w:rFonts w:ascii="宋体" w:eastAsia="宋体" w:hAnsi="宋体" w:cs="宋体" w:hint="eastAsia"/>
                <w:color w:val="000000"/>
              </w:rPr>
              <w:t>实施税收征管。</w:t>
            </w:r>
          </w:p>
        </w:tc>
      </w:tr>
    </w:tbl>
    <w:p w:rsidR="00D207FB" w:rsidRDefault="00D207FB" w:rsidP="00D207FB">
      <w:pPr>
        <w:spacing w:line="200" w:lineRule="exact"/>
        <w:rPr>
          <w:rFonts w:ascii="楷体" w:eastAsia="楷体" w:hAnsi="楷体" w:cs="楷体"/>
          <w:color w:val="000000"/>
          <w:sz w:val="18"/>
          <w:szCs w:val="18"/>
        </w:rPr>
      </w:pPr>
    </w:p>
    <w:p w:rsidR="002539C7" w:rsidRDefault="002539C7" w:rsidP="00D207FB"/>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80" w:rsidRDefault="00B27680" w:rsidP="00D207FB">
      <w:r>
        <w:separator/>
      </w:r>
    </w:p>
  </w:endnote>
  <w:endnote w:type="continuationSeparator" w:id="0">
    <w:p w:rsidR="00B27680" w:rsidRDefault="00B27680" w:rsidP="00D2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仿宋S"/>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80" w:rsidRDefault="00B27680" w:rsidP="00D207FB">
      <w:r>
        <w:separator/>
      </w:r>
    </w:p>
  </w:footnote>
  <w:footnote w:type="continuationSeparator" w:id="0">
    <w:p w:rsidR="00B27680" w:rsidRDefault="00B27680" w:rsidP="00D20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8"/>
    <w:rsid w:val="00003BFE"/>
    <w:rsid w:val="00011730"/>
    <w:rsid w:val="00014ED5"/>
    <w:rsid w:val="00022B63"/>
    <w:rsid w:val="00035B22"/>
    <w:rsid w:val="0005150D"/>
    <w:rsid w:val="0005153A"/>
    <w:rsid w:val="00053FFB"/>
    <w:rsid w:val="000560DE"/>
    <w:rsid w:val="00063FF8"/>
    <w:rsid w:val="00067A47"/>
    <w:rsid w:val="0007361C"/>
    <w:rsid w:val="000910ED"/>
    <w:rsid w:val="000A0329"/>
    <w:rsid w:val="000A0616"/>
    <w:rsid w:val="000A0B5B"/>
    <w:rsid w:val="000A246C"/>
    <w:rsid w:val="000A5A73"/>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42733"/>
    <w:rsid w:val="001579D5"/>
    <w:rsid w:val="00161B1B"/>
    <w:rsid w:val="00164EB4"/>
    <w:rsid w:val="00164F3C"/>
    <w:rsid w:val="00165FF2"/>
    <w:rsid w:val="00170CF8"/>
    <w:rsid w:val="00174BA1"/>
    <w:rsid w:val="0019033E"/>
    <w:rsid w:val="0019253D"/>
    <w:rsid w:val="001940AF"/>
    <w:rsid w:val="001A11DE"/>
    <w:rsid w:val="001A5963"/>
    <w:rsid w:val="001C0013"/>
    <w:rsid w:val="001F2507"/>
    <w:rsid w:val="001F4982"/>
    <w:rsid w:val="002020B8"/>
    <w:rsid w:val="002049EA"/>
    <w:rsid w:val="002149B6"/>
    <w:rsid w:val="00215203"/>
    <w:rsid w:val="00222247"/>
    <w:rsid w:val="00237F51"/>
    <w:rsid w:val="00242552"/>
    <w:rsid w:val="00250BA0"/>
    <w:rsid w:val="002523CB"/>
    <w:rsid w:val="002539C7"/>
    <w:rsid w:val="00270521"/>
    <w:rsid w:val="00275013"/>
    <w:rsid w:val="002B6B20"/>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9106C"/>
    <w:rsid w:val="003A62B8"/>
    <w:rsid w:val="003C10D0"/>
    <w:rsid w:val="003C15F0"/>
    <w:rsid w:val="003C1DA7"/>
    <w:rsid w:val="003E21AF"/>
    <w:rsid w:val="003E22ED"/>
    <w:rsid w:val="003E2C75"/>
    <w:rsid w:val="003E6868"/>
    <w:rsid w:val="003E7FAC"/>
    <w:rsid w:val="003F6ED1"/>
    <w:rsid w:val="0040348A"/>
    <w:rsid w:val="00406A7E"/>
    <w:rsid w:val="00415E97"/>
    <w:rsid w:val="00423840"/>
    <w:rsid w:val="00433098"/>
    <w:rsid w:val="00433F6C"/>
    <w:rsid w:val="00434BE9"/>
    <w:rsid w:val="00435353"/>
    <w:rsid w:val="004412F0"/>
    <w:rsid w:val="00446C96"/>
    <w:rsid w:val="00456339"/>
    <w:rsid w:val="00471459"/>
    <w:rsid w:val="0047303D"/>
    <w:rsid w:val="004841D8"/>
    <w:rsid w:val="004868E6"/>
    <w:rsid w:val="004A5144"/>
    <w:rsid w:val="004B06E4"/>
    <w:rsid w:val="004B4D19"/>
    <w:rsid w:val="004B51A0"/>
    <w:rsid w:val="004C1EDC"/>
    <w:rsid w:val="004E1B10"/>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354A4"/>
    <w:rsid w:val="00553CF0"/>
    <w:rsid w:val="00565EC5"/>
    <w:rsid w:val="0057639A"/>
    <w:rsid w:val="00587811"/>
    <w:rsid w:val="00592023"/>
    <w:rsid w:val="005950C7"/>
    <w:rsid w:val="005A4EE3"/>
    <w:rsid w:val="005B6DD2"/>
    <w:rsid w:val="005C4771"/>
    <w:rsid w:val="005D3498"/>
    <w:rsid w:val="005D58D9"/>
    <w:rsid w:val="005E6F5C"/>
    <w:rsid w:val="005F2385"/>
    <w:rsid w:val="005F43B1"/>
    <w:rsid w:val="00616610"/>
    <w:rsid w:val="00653143"/>
    <w:rsid w:val="00653BDC"/>
    <w:rsid w:val="00655A33"/>
    <w:rsid w:val="0065783D"/>
    <w:rsid w:val="0066110F"/>
    <w:rsid w:val="0067142B"/>
    <w:rsid w:val="006818CC"/>
    <w:rsid w:val="00697F54"/>
    <w:rsid w:val="006A1CDB"/>
    <w:rsid w:val="006B11FD"/>
    <w:rsid w:val="006B1986"/>
    <w:rsid w:val="006B55EC"/>
    <w:rsid w:val="006B6975"/>
    <w:rsid w:val="006C1155"/>
    <w:rsid w:val="006C71BF"/>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C83"/>
    <w:rsid w:val="007B0EE8"/>
    <w:rsid w:val="007B3EAC"/>
    <w:rsid w:val="007C4B3F"/>
    <w:rsid w:val="007C758D"/>
    <w:rsid w:val="007C7F95"/>
    <w:rsid w:val="007D4B25"/>
    <w:rsid w:val="007D6641"/>
    <w:rsid w:val="007E06D5"/>
    <w:rsid w:val="007E578A"/>
    <w:rsid w:val="007F0928"/>
    <w:rsid w:val="007F0C36"/>
    <w:rsid w:val="007F39D8"/>
    <w:rsid w:val="00801203"/>
    <w:rsid w:val="00815500"/>
    <w:rsid w:val="008169DF"/>
    <w:rsid w:val="0082172A"/>
    <w:rsid w:val="008243AB"/>
    <w:rsid w:val="008258BE"/>
    <w:rsid w:val="00830E20"/>
    <w:rsid w:val="00834173"/>
    <w:rsid w:val="00836791"/>
    <w:rsid w:val="00841020"/>
    <w:rsid w:val="0084377C"/>
    <w:rsid w:val="008574E0"/>
    <w:rsid w:val="00860423"/>
    <w:rsid w:val="00862F37"/>
    <w:rsid w:val="00863DE4"/>
    <w:rsid w:val="00884364"/>
    <w:rsid w:val="00891782"/>
    <w:rsid w:val="0089278F"/>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A31FD"/>
    <w:rsid w:val="009B392F"/>
    <w:rsid w:val="009C1A8B"/>
    <w:rsid w:val="009D5BB2"/>
    <w:rsid w:val="009E4379"/>
    <w:rsid w:val="009E4985"/>
    <w:rsid w:val="009F27D1"/>
    <w:rsid w:val="009F2F36"/>
    <w:rsid w:val="009F7414"/>
    <w:rsid w:val="00A07C3C"/>
    <w:rsid w:val="00A3052A"/>
    <w:rsid w:val="00A33C7D"/>
    <w:rsid w:val="00A55197"/>
    <w:rsid w:val="00A55C98"/>
    <w:rsid w:val="00A6035D"/>
    <w:rsid w:val="00A67EF7"/>
    <w:rsid w:val="00A71AAD"/>
    <w:rsid w:val="00A80214"/>
    <w:rsid w:val="00A803EA"/>
    <w:rsid w:val="00A875BE"/>
    <w:rsid w:val="00AA101A"/>
    <w:rsid w:val="00AA29AB"/>
    <w:rsid w:val="00AA33F1"/>
    <w:rsid w:val="00AB0212"/>
    <w:rsid w:val="00AB448D"/>
    <w:rsid w:val="00AC5031"/>
    <w:rsid w:val="00AC6898"/>
    <w:rsid w:val="00AD5CC2"/>
    <w:rsid w:val="00AE03BD"/>
    <w:rsid w:val="00AE1FAA"/>
    <w:rsid w:val="00AE56EE"/>
    <w:rsid w:val="00AE6C3B"/>
    <w:rsid w:val="00AE6CD1"/>
    <w:rsid w:val="00AE72B3"/>
    <w:rsid w:val="00AF12C0"/>
    <w:rsid w:val="00B0089C"/>
    <w:rsid w:val="00B008EC"/>
    <w:rsid w:val="00B0177A"/>
    <w:rsid w:val="00B04149"/>
    <w:rsid w:val="00B05059"/>
    <w:rsid w:val="00B1248F"/>
    <w:rsid w:val="00B12603"/>
    <w:rsid w:val="00B15AE3"/>
    <w:rsid w:val="00B17789"/>
    <w:rsid w:val="00B23957"/>
    <w:rsid w:val="00B27680"/>
    <w:rsid w:val="00B344BC"/>
    <w:rsid w:val="00B52729"/>
    <w:rsid w:val="00B84AC0"/>
    <w:rsid w:val="00B93D74"/>
    <w:rsid w:val="00BA36AA"/>
    <w:rsid w:val="00BC2E9D"/>
    <w:rsid w:val="00BC5167"/>
    <w:rsid w:val="00BE6876"/>
    <w:rsid w:val="00BF573F"/>
    <w:rsid w:val="00C074BE"/>
    <w:rsid w:val="00C10BA8"/>
    <w:rsid w:val="00C15F57"/>
    <w:rsid w:val="00C20C6E"/>
    <w:rsid w:val="00C267D8"/>
    <w:rsid w:val="00C42D12"/>
    <w:rsid w:val="00C5288F"/>
    <w:rsid w:val="00C52EFF"/>
    <w:rsid w:val="00C55271"/>
    <w:rsid w:val="00C60CB8"/>
    <w:rsid w:val="00C67FC9"/>
    <w:rsid w:val="00C7567D"/>
    <w:rsid w:val="00C835F5"/>
    <w:rsid w:val="00C86FFA"/>
    <w:rsid w:val="00C96AFE"/>
    <w:rsid w:val="00CA35AD"/>
    <w:rsid w:val="00CA4A36"/>
    <w:rsid w:val="00CB2E04"/>
    <w:rsid w:val="00CB7D7B"/>
    <w:rsid w:val="00CC08A2"/>
    <w:rsid w:val="00CC29FA"/>
    <w:rsid w:val="00CC5C33"/>
    <w:rsid w:val="00CD2119"/>
    <w:rsid w:val="00CE0124"/>
    <w:rsid w:val="00CE6385"/>
    <w:rsid w:val="00CE793B"/>
    <w:rsid w:val="00CF217A"/>
    <w:rsid w:val="00CF3B9B"/>
    <w:rsid w:val="00CF51ED"/>
    <w:rsid w:val="00D01C06"/>
    <w:rsid w:val="00D038EE"/>
    <w:rsid w:val="00D0785B"/>
    <w:rsid w:val="00D14599"/>
    <w:rsid w:val="00D207FB"/>
    <w:rsid w:val="00D25965"/>
    <w:rsid w:val="00D265B2"/>
    <w:rsid w:val="00D30F5A"/>
    <w:rsid w:val="00D344AC"/>
    <w:rsid w:val="00D50031"/>
    <w:rsid w:val="00D65978"/>
    <w:rsid w:val="00D86722"/>
    <w:rsid w:val="00D87EAE"/>
    <w:rsid w:val="00D90B02"/>
    <w:rsid w:val="00DB213E"/>
    <w:rsid w:val="00DC3B8B"/>
    <w:rsid w:val="00DC7B64"/>
    <w:rsid w:val="00DD089C"/>
    <w:rsid w:val="00DD1BF8"/>
    <w:rsid w:val="00DD5953"/>
    <w:rsid w:val="00DD5B3B"/>
    <w:rsid w:val="00DE3C06"/>
    <w:rsid w:val="00E172D5"/>
    <w:rsid w:val="00E3012B"/>
    <w:rsid w:val="00E375B8"/>
    <w:rsid w:val="00E45F94"/>
    <w:rsid w:val="00E47793"/>
    <w:rsid w:val="00E478E7"/>
    <w:rsid w:val="00E60630"/>
    <w:rsid w:val="00E82AE0"/>
    <w:rsid w:val="00E94CA3"/>
    <w:rsid w:val="00EA0CA9"/>
    <w:rsid w:val="00EA2888"/>
    <w:rsid w:val="00EB0C66"/>
    <w:rsid w:val="00EB12A0"/>
    <w:rsid w:val="00EB421E"/>
    <w:rsid w:val="00EC0173"/>
    <w:rsid w:val="00EF541C"/>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FB"/>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7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7FB"/>
    <w:rPr>
      <w:sz w:val="18"/>
      <w:szCs w:val="18"/>
    </w:rPr>
  </w:style>
  <w:style w:type="paragraph" w:styleId="a4">
    <w:name w:val="footer"/>
    <w:basedOn w:val="a"/>
    <w:link w:val="Char0"/>
    <w:uiPriority w:val="99"/>
    <w:unhideWhenUsed/>
    <w:rsid w:val="00D207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7FB"/>
    <w:rPr>
      <w:sz w:val="18"/>
      <w:szCs w:val="18"/>
    </w:rPr>
  </w:style>
  <w:style w:type="paragraph" w:styleId="a5">
    <w:name w:val="Normal (Web)"/>
    <w:basedOn w:val="a"/>
    <w:qFormat/>
    <w:rsid w:val="00D207FB"/>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FB"/>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7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7FB"/>
    <w:rPr>
      <w:sz w:val="18"/>
      <w:szCs w:val="18"/>
    </w:rPr>
  </w:style>
  <w:style w:type="paragraph" w:styleId="a4">
    <w:name w:val="footer"/>
    <w:basedOn w:val="a"/>
    <w:link w:val="Char0"/>
    <w:uiPriority w:val="99"/>
    <w:unhideWhenUsed/>
    <w:rsid w:val="00D207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7FB"/>
    <w:rPr>
      <w:sz w:val="18"/>
      <w:szCs w:val="18"/>
    </w:rPr>
  </w:style>
  <w:style w:type="paragraph" w:styleId="a5">
    <w:name w:val="Normal (Web)"/>
    <w:basedOn w:val="a"/>
    <w:qFormat/>
    <w:rsid w:val="00D207FB"/>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2022-07-14T07:46:00Z</dcterms:created>
  <dcterms:modified xsi:type="dcterms:W3CDTF">2022-07-14T07:46:00Z</dcterms:modified>
</cp:coreProperties>
</file>