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4F" w:rsidRDefault="00EF504F" w:rsidP="00EF504F">
      <w:pPr>
        <w:overflowPunct w:val="0"/>
        <w:adjustRightInd w:val="0"/>
        <w:snapToGrid w:val="0"/>
        <w:spacing w:line="580" w:lineRule="exact"/>
        <w:rPr>
          <w:rFonts w:ascii="方正黑体_GBK" w:eastAsia="方正黑体_GBK" w:hAnsi="方正黑体_GBK" w:cs="方正黑体_GBK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附件2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/>
          <w:bCs/>
          <w:snapToGrid w:val="0"/>
          <w:kern w:val="0"/>
          <w:sz w:val="44"/>
          <w:szCs w:val="44"/>
        </w:rPr>
      </w:pPr>
    </w:p>
    <w:p w:rsidR="00EF504F" w:rsidRDefault="00EF504F" w:rsidP="00EF504F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bCs/>
          <w:snapToGrid w:val="0"/>
          <w:kern w:val="0"/>
          <w:sz w:val="36"/>
          <w:szCs w:val="36"/>
        </w:rPr>
      </w:pPr>
      <w:r>
        <w:rPr>
          <w:rFonts w:ascii="方正小标宋_GBK" w:eastAsia="方正小标宋_GBK" w:hAnsi="Times New Roman"/>
          <w:bCs/>
          <w:snapToGrid w:val="0"/>
          <w:kern w:val="0"/>
          <w:sz w:val="44"/>
          <w:szCs w:val="44"/>
        </w:rPr>
        <w:t>社会组织抽查审计资料清单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bCs/>
          <w:snapToGrid w:val="0"/>
          <w:kern w:val="0"/>
          <w:sz w:val="36"/>
          <w:szCs w:val="36"/>
        </w:rPr>
      </w:pP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一、</w:t>
      </w:r>
      <w:r>
        <w:rPr>
          <w:rFonts w:ascii="方正黑体_GBK" w:eastAsia="方正黑体_GBK" w:hAnsi="Times New Roman"/>
          <w:snapToGrid w:val="0"/>
          <w:kern w:val="0"/>
          <w:sz w:val="32"/>
          <w:szCs w:val="32"/>
        </w:rPr>
        <w:t>综合类资料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（一）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社会组织法人登记证书；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（二）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社会组织成立验资报告及变更验资报告；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（三）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社会组织章程、协议及重大事项的会员（代表）大会或理事会会议纪要；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（四）提供党组织建立相关资料，包括支部设置、班子建设、制度建设、教育管理、会议召开情况；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（五）业务活动情况，包括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年度召开会员（代表）大会、理事会、常务理事会情况；换届情况，办理变更登记、章程修改核准情况，涉及法定代表人变更登记的，离任审计、抽查审计发现问题整改完成情况，前一年度检查不合格、基本合格的，完成整改情况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（六）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法人治理结构的健全和运转情况，以及财务管理、业务管理、风险管理、内部审计等内部管理制度的制</w:t>
      </w: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定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和执行情况（汇编）（表格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1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）</w:t>
      </w:r>
      <w:r w:rsidR="00C36E10"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（七）分支（代表）机构设置管理</w:t>
      </w: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情况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，相关设立分支（代表）机构的理事会或会员（代表）大会会议纪要、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年开展活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lastRenderedPageBreak/>
        <w:t>动情况；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（八）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社会组织历年来的审计报告和税务</w:t>
      </w:r>
      <w:proofErr w:type="gramStart"/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鉴证</w:t>
      </w:r>
      <w:proofErr w:type="gramEnd"/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报告；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（九）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审计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—20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24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年在职或离退休领导干部（表格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）、专职（兼职）工作人员领取报酬相关情况（表格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）；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（十）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24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—20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24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年重大经济决策情况、重要项目的决策、投资、建设及效益情况，含项目清单、建设进度及项目收到拨款及款项支付情况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表格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4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）</w:t>
      </w:r>
      <w:r w:rsidR="00C36E10"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（十一）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收费项目情况</w:t>
      </w: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：会费制定标准及收支情况，开展评比、表彰、达标或举办研讨会、论坛、展会、培训相关资料及收费情况，开展技术审查、论证、评估、检验、评价、检测、鉴定、</w:t>
      </w:r>
      <w:proofErr w:type="gramStart"/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鉴证</w:t>
      </w:r>
      <w:proofErr w:type="gramEnd"/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、证明、咨询、试验等作为行政审批受理条件的中介服务相关资料及收费情况，经营服务性收费项目的收费标准及收入情况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（十二）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税收优惠资格文件、票据领用及使用情况资料；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（十三）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</w:t>
      </w: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组织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负责人遵守有关廉洁情况；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（十四）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有关评比表彰、</w:t>
      </w: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举办研讨会、论坛以及涉外活动以及其他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依法开展活动相关资料；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（十五）对外投资、对外借款、其他重大资产出租出借的协议、合同及资产监管制度；关联业务交易资料（内部决策、交易类型、价格情况）；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（十六）公益项目活动相关资料，特别是发生的重大交换交易或非交换交易资料；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（十七）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对以往审计中发现问题的整改情况；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lastRenderedPageBreak/>
        <w:t>（十八）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其他相关资料。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注：上述资料请提供原件及复印件一份，复印件请加盖单位公章。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二、</w:t>
      </w:r>
      <w:r>
        <w:rPr>
          <w:rFonts w:ascii="方正黑体_GBK" w:eastAsia="方正黑体_GBK" w:hAnsi="Times New Roman"/>
          <w:snapToGrid w:val="0"/>
          <w:kern w:val="0"/>
          <w:sz w:val="32"/>
          <w:szCs w:val="32"/>
        </w:rPr>
        <w:t>财务资料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（一）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审计检查的截止日的资产负债表；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（二）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审计检查期间的业务活动表；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（三）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审计检查期间的总账、明细账、会计凭证；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（四）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审计检查期间的银行存款对账单；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（五）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审计检查期间的资产、负债明细及资产盘点表；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（六）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社会组织机构债权人、债务人清单（应包括名称、金额）；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（七）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社会组织机构近三年的纳税申报相关资料；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napToGrid w:val="0"/>
          <w:kern w:val="0"/>
          <w:sz w:val="32"/>
          <w:szCs w:val="32"/>
        </w:rPr>
        <w:t>（八）</w:t>
      </w: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其他与审计检查相关的资料。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仿宋_GBK" w:eastAsia="方正仿宋_GBK" w:hAnsi="Times New Roman"/>
          <w:snapToGrid w:val="0"/>
          <w:kern w:val="0"/>
          <w:sz w:val="32"/>
          <w:szCs w:val="32"/>
        </w:rPr>
        <w:t>注：上述资料请提供原件及复印件一份，复印件请加盖单位公章。</w:t>
      </w:r>
    </w:p>
    <w:p w:rsidR="00EF504F" w:rsidRDefault="00EF504F" w:rsidP="00EF504F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adjustRightInd w:val="0"/>
        <w:snapToGrid w:val="0"/>
        <w:spacing w:afterLines="50" w:after="190" w:line="400" w:lineRule="exact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br w:type="page"/>
      </w: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表格1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126"/>
        <w:gridCol w:w="1844"/>
        <w:gridCol w:w="2125"/>
        <w:gridCol w:w="1865"/>
      </w:tblGrid>
      <w:tr w:rsidR="00EF504F" w:rsidTr="00A64692">
        <w:trPr>
          <w:cantSplit/>
          <w:trHeight w:val="680"/>
          <w:jc w:val="center"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  <w:t>内部管理制度和执行情况表</w:t>
            </w: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编制单位（公章）：</w:t>
            </w: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制度名称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实施时间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执行情况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财务管理制度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业务管理制度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风险管理制度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内部审计制度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五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其他相关制度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EF504F" w:rsidRDefault="00EF504F" w:rsidP="00EF504F">
      <w:pPr>
        <w:overflowPunct w:val="0"/>
        <w:adjustRightInd w:val="0"/>
        <w:snapToGrid w:val="0"/>
        <w:spacing w:afterLines="50" w:after="190" w:line="4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br w:type="page"/>
      </w: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表格2</w:t>
      </w:r>
    </w:p>
    <w:tbl>
      <w:tblPr>
        <w:tblW w:w="90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65"/>
        <w:gridCol w:w="1466"/>
        <w:gridCol w:w="1466"/>
        <w:gridCol w:w="1466"/>
        <w:gridCol w:w="1704"/>
      </w:tblGrid>
      <w:tr w:rsidR="00EF504F" w:rsidTr="00A64692">
        <w:trPr>
          <w:cantSplit/>
          <w:trHeight w:val="680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500" w:lineRule="exact"/>
              <w:jc w:val="center"/>
              <w:textAlignment w:val="center"/>
              <w:rPr>
                <w:rFonts w:ascii="方正小标宋_GBK" w:eastAsia="方正小标宋_GBK"/>
                <w:snapToGrid w:val="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napToGrid w:val="0"/>
                <w:kern w:val="0"/>
                <w:sz w:val="44"/>
                <w:szCs w:val="44"/>
              </w:rPr>
              <w:t>在职或离退休领导干部领取报酬相关情况表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 xml:space="preserve">编制单位（公章）：   </w:t>
            </w:r>
            <w:r>
              <w:rPr>
                <w:rStyle w:val="15"/>
                <w:rFonts w:hint="default"/>
                <w:snapToGrid w:val="0"/>
                <w:kern w:val="0"/>
              </w:rPr>
              <w:t xml:space="preserve">                           单位：元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2022年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2023年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2024年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EF504F" w:rsidRDefault="00EF504F" w:rsidP="00EF504F">
      <w:pPr>
        <w:overflowPunct w:val="0"/>
        <w:spacing w:line="40" w:lineRule="exact"/>
        <w:jc w:val="left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adjustRightInd w:val="0"/>
        <w:snapToGrid w:val="0"/>
        <w:spacing w:afterLines="50" w:after="190" w:line="400" w:lineRule="exact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表格3</w:t>
      </w:r>
    </w:p>
    <w:tbl>
      <w:tblPr>
        <w:tblW w:w="89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65"/>
        <w:gridCol w:w="1466"/>
        <w:gridCol w:w="1466"/>
        <w:gridCol w:w="1466"/>
        <w:gridCol w:w="1588"/>
      </w:tblGrid>
      <w:tr w:rsidR="00EF504F" w:rsidTr="00A64692">
        <w:trPr>
          <w:cantSplit/>
          <w:trHeight w:val="680"/>
          <w:jc w:val="center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方正小标宋_GBK" w:eastAsia="方正小标宋_GBK"/>
                <w:snapToGrid w:val="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napToGrid w:val="0"/>
                <w:kern w:val="0"/>
                <w:sz w:val="44"/>
                <w:szCs w:val="44"/>
              </w:rPr>
              <w:t>专职（兼职）工作人员领取报酬相关情况表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 xml:space="preserve">编制单位（公章）：   </w:t>
            </w:r>
            <w:r>
              <w:rPr>
                <w:rStyle w:val="15"/>
                <w:rFonts w:hint="default"/>
                <w:snapToGrid w:val="0"/>
                <w:kern w:val="0"/>
              </w:rPr>
              <w:t xml:space="preserve">                          单位：元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2022年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2023年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2024年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EF504F" w:rsidRDefault="00EF504F" w:rsidP="00EF504F">
      <w:pPr>
        <w:overflowPunct w:val="0"/>
        <w:spacing w:line="40" w:lineRule="exact"/>
        <w:jc w:val="left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spacing w:line="40" w:lineRule="exact"/>
        <w:jc w:val="left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jc w:val="left"/>
        <w:rPr>
          <w:rFonts w:ascii="方正仿宋_GBK" w:eastAsia="方正仿宋_GBK"/>
          <w:snapToGrid w:val="0"/>
          <w:kern w:val="0"/>
          <w:sz w:val="32"/>
          <w:szCs w:val="32"/>
        </w:rPr>
        <w:sectPr w:rsidR="00EF50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8" w:bottom="1985" w:left="1418" w:header="851" w:footer="1531" w:gutter="0"/>
          <w:cols w:space="720"/>
          <w:titlePg/>
          <w:docGrid w:type="lines" w:linePitch="381"/>
        </w:sectPr>
      </w:pPr>
    </w:p>
    <w:p w:rsidR="00EF504F" w:rsidRDefault="00EF504F" w:rsidP="00EF504F">
      <w:pPr>
        <w:overflowPunct w:val="0"/>
        <w:adjustRightInd w:val="0"/>
        <w:snapToGrid w:val="0"/>
        <w:spacing w:afterLines="50" w:after="161" w:line="400" w:lineRule="exact"/>
        <w:ind w:firstLineChars="50" w:firstLine="160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lastRenderedPageBreak/>
        <w:t>表格4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585"/>
        <w:gridCol w:w="1701"/>
        <w:gridCol w:w="2126"/>
        <w:gridCol w:w="1418"/>
        <w:gridCol w:w="1616"/>
        <w:gridCol w:w="1418"/>
        <w:gridCol w:w="1077"/>
        <w:gridCol w:w="1086"/>
        <w:gridCol w:w="952"/>
      </w:tblGrid>
      <w:tr w:rsidR="00EF504F" w:rsidTr="00A64692">
        <w:trPr>
          <w:cantSplit/>
          <w:trHeight w:val="680"/>
          <w:jc w:val="center"/>
        </w:trPr>
        <w:tc>
          <w:tcPr>
            <w:tcW w:w="13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方正小标宋_GBK" w:eastAsia="方正小标宋_GBK"/>
                <w:snapToGrid w:val="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napToGrid w:val="0"/>
                <w:kern w:val="0"/>
                <w:sz w:val="44"/>
                <w:szCs w:val="44"/>
              </w:rPr>
              <w:t>重大决策、项目投资建设情况表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13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编制单位（公章）：                                                           单位：元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项目内容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项目决策文件名、文号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资金来源渠道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建设时间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完工时间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建设进度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proofErr w:type="gramStart"/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下拨数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支出数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结余数</w:t>
            </w: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EF504F" w:rsidTr="00A64692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04F" w:rsidRDefault="00EF504F" w:rsidP="00A6469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EF504F" w:rsidRDefault="00EF504F" w:rsidP="00EF504F">
      <w:pPr>
        <w:overflowPunct w:val="0"/>
        <w:adjustRightInd w:val="0"/>
        <w:snapToGrid w:val="0"/>
        <w:spacing w:line="4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EF504F" w:rsidRDefault="00EF504F" w:rsidP="00EF504F">
      <w:pPr>
        <w:overflowPunct w:val="0"/>
        <w:adjustRightInd w:val="0"/>
        <w:snapToGrid w:val="0"/>
        <w:spacing w:line="4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2539C7" w:rsidRDefault="002539C7"/>
    <w:sectPr w:rsidR="002539C7" w:rsidSect="00F832BD">
      <w:footerReference w:type="default" r:id="rId12"/>
      <w:pgSz w:w="16838" w:h="11906" w:orient="landscape"/>
      <w:pgMar w:top="1440" w:right="1440" w:bottom="1440" w:left="1440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FC" w:rsidRDefault="00A53EFC" w:rsidP="00EF504F">
      <w:r>
        <w:separator/>
      </w:r>
    </w:p>
  </w:endnote>
  <w:endnote w:type="continuationSeparator" w:id="0">
    <w:p w:rsidR="00A53EFC" w:rsidRDefault="00A53EFC" w:rsidP="00EF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4F" w:rsidRDefault="00EF504F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832BD">
      <w:rPr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EF504F" w:rsidRDefault="00EF50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4F" w:rsidRDefault="00EF504F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832BD">
      <w:rPr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EF504F" w:rsidRDefault="00EF50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BD" w:rsidRDefault="00F832BD">
    <w:pPr>
      <w:pStyle w:val="a4"/>
      <w:jc w:val="right"/>
    </w:pPr>
    <w:bookmarkStart w:id="0" w:name="_GoBack"/>
    <w:r w:rsidRPr="00F832BD">
      <w:rPr>
        <w:rFonts w:ascii="宋体" w:eastAsia="宋体" w:hAnsi="宋体" w:cs="Times New Roman"/>
        <w:sz w:val="28"/>
        <w:szCs w:val="28"/>
      </w:rPr>
      <w:t>—</w:t>
    </w:r>
    <w:sdt>
      <w:sdtPr>
        <w:rPr>
          <w:rFonts w:ascii="宋体" w:eastAsia="宋体" w:hAnsi="宋体" w:cs="Times New Roman"/>
          <w:sz w:val="28"/>
          <w:szCs w:val="28"/>
        </w:rPr>
        <w:id w:val="186671112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18"/>
          <w:szCs w:val="18"/>
        </w:rPr>
      </w:sdtEndPr>
      <w:sdtContent>
        <w:r w:rsidRPr="00F832BD">
          <w:rPr>
            <w:rFonts w:ascii="宋体" w:eastAsia="宋体" w:hAnsi="宋体" w:cs="Times New Roman"/>
            <w:sz w:val="28"/>
            <w:szCs w:val="28"/>
          </w:rPr>
          <w:t xml:space="preserve"> </w:t>
        </w:r>
        <w:r w:rsidRPr="00F832BD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F832BD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F832BD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noProof/>
            <w:sz w:val="28"/>
            <w:szCs w:val="28"/>
          </w:rPr>
          <w:t>1</w:t>
        </w:r>
        <w:r w:rsidRPr="00F832BD">
          <w:rPr>
            <w:rFonts w:ascii="宋体" w:eastAsia="宋体" w:hAnsi="宋体" w:cs="Times New Roman"/>
            <w:sz w:val="28"/>
            <w:szCs w:val="28"/>
          </w:rPr>
          <w:fldChar w:fldCharType="end"/>
        </w:r>
        <w:r w:rsidRPr="00F832BD">
          <w:rPr>
            <w:rFonts w:ascii="宋体" w:eastAsia="宋体" w:hAnsi="宋体" w:cs="Times New Roman"/>
            <w:sz w:val="28"/>
            <w:szCs w:val="28"/>
          </w:rPr>
          <w:t xml:space="preserve"> </w:t>
        </w:r>
        <w:r w:rsidRPr="00F832BD">
          <w:rPr>
            <w:rFonts w:ascii="宋体" w:eastAsia="宋体" w:hAnsi="宋体" w:cs="Times New Roman"/>
            <w:sz w:val="28"/>
            <w:szCs w:val="28"/>
          </w:rPr>
          <w:t>—</w:t>
        </w:r>
        <w:bookmarkEnd w:id="0"/>
      </w:sdtContent>
    </w:sdt>
  </w:p>
  <w:p w:rsidR="00F832BD" w:rsidRDefault="00F832B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417261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  <w:szCs w:val="28"/>
      </w:rPr>
    </w:sdtEndPr>
    <w:sdtContent>
      <w:p w:rsidR="00F832BD" w:rsidRPr="00F832BD" w:rsidRDefault="00F832BD">
        <w:pPr>
          <w:pStyle w:val="a4"/>
          <w:jc w:val="right"/>
          <w:rPr>
            <w:rFonts w:ascii="宋体" w:eastAsia="宋体" w:hAnsi="宋体" w:cs="Times New Roman"/>
            <w:sz w:val="28"/>
            <w:szCs w:val="28"/>
          </w:rPr>
        </w:pPr>
        <w:r w:rsidRPr="00F832BD"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 w:rsidRPr="00F832BD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F832BD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F832BD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noProof/>
            <w:sz w:val="28"/>
            <w:szCs w:val="28"/>
          </w:rPr>
          <w:t>7</w:t>
        </w:r>
        <w:r w:rsidRPr="00F832BD">
          <w:rPr>
            <w:rFonts w:ascii="宋体" w:eastAsia="宋体" w:hAnsi="宋体" w:cs="Times New Roman"/>
            <w:sz w:val="28"/>
            <w:szCs w:val="28"/>
          </w:rPr>
          <w:fldChar w:fldCharType="end"/>
        </w:r>
        <w:r w:rsidRPr="00F832BD">
          <w:rPr>
            <w:rFonts w:ascii="宋体" w:eastAsia="宋体" w:hAnsi="宋体" w:cs="Times New Roman"/>
            <w:sz w:val="28"/>
            <w:szCs w:val="28"/>
          </w:rPr>
          <w:t xml:space="preserve"> </w:t>
        </w:r>
        <w:r w:rsidRPr="00F832BD">
          <w:rPr>
            <w:rFonts w:ascii="宋体" w:eastAsia="宋体" w:hAnsi="宋体" w:cs="Times New Roman" w:hint="eastAsia"/>
            <w:sz w:val="28"/>
            <w:szCs w:val="28"/>
          </w:rPr>
          <w:t>—</w:t>
        </w:r>
      </w:p>
    </w:sdtContent>
  </w:sdt>
  <w:p w:rsidR="00F619B0" w:rsidRDefault="00F619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FC" w:rsidRDefault="00A53EFC" w:rsidP="00EF504F">
      <w:r>
        <w:separator/>
      </w:r>
    </w:p>
  </w:footnote>
  <w:footnote w:type="continuationSeparator" w:id="0">
    <w:p w:rsidR="00A53EFC" w:rsidRDefault="00A53EFC" w:rsidP="00EF5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4F" w:rsidRDefault="00EF504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4F" w:rsidRDefault="00EF504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4F" w:rsidRDefault="00EF50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evenAndOddHeaders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1D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B37FC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1BC6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D5D1D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3EFC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6E10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04F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19B0"/>
    <w:rsid w:val="00F6651A"/>
    <w:rsid w:val="00F709E8"/>
    <w:rsid w:val="00F773D3"/>
    <w:rsid w:val="00F82E72"/>
    <w:rsid w:val="00F832BD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C40F0-074E-49ED-B9A0-1808FA9C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F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5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4F"/>
    <w:rPr>
      <w:sz w:val="18"/>
      <w:szCs w:val="18"/>
    </w:rPr>
  </w:style>
  <w:style w:type="character" w:customStyle="1" w:styleId="15">
    <w:name w:val="15"/>
    <w:qFormat/>
    <w:rsid w:val="00EF504F"/>
    <w:rPr>
      <w:rFonts w:ascii="方正仿宋_GBK" w:eastAsia="方正仿宋_GBK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李娇</cp:lastModifiedBy>
  <cp:revision>4</cp:revision>
  <dcterms:created xsi:type="dcterms:W3CDTF">2024-07-08T07:41:00Z</dcterms:created>
  <dcterms:modified xsi:type="dcterms:W3CDTF">2024-07-08T09:43:00Z</dcterms:modified>
</cp:coreProperties>
</file>