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C3" w:rsidRDefault="000032C3" w:rsidP="000032C3">
      <w:pPr>
        <w:widowControl w:val="0"/>
        <w:kinsoku/>
        <w:overflowPunct w:val="0"/>
        <w:autoSpaceDE/>
        <w:autoSpaceDN/>
        <w:spacing w:line="580" w:lineRule="exact"/>
        <w:jc w:val="both"/>
        <w:rPr>
          <w:rFonts w:ascii="方正黑体_GBK" w:eastAsia="方正黑体_GBK"/>
          <w:bCs/>
          <w:sz w:val="32"/>
          <w:szCs w:val="32"/>
          <w:lang w:eastAsia="zh-CN"/>
        </w:rPr>
      </w:pPr>
      <w:r>
        <w:rPr>
          <w:rFonts w:ascii="方正黑体_GBK" w:eastAsia="方正黑体_GBK" w:hint="eastAsia"/>
          <w:bCs/>
          <w:sz w:val="32"/>
          <w:szCs w:val="32"/>
          <w:lang w:eastAsia="zh-CN"/>
        </w:rPr>
        <w:t>附件1</w:t>
      </w:r>
    </w:p>
    <w:p w:rsidR="000032C3" w:rsidRDefault="000032C3" w:rsidP="000032C3">
      <w:pPr>
        <w:widowControl w:val="0"/>
        <w:kinsoku/>
        <w:overflowPunct w:val="0"/>
        <w:autoSpaceDE/>
        <w:autoSpaceDN/>
        <w:spacing w:line="580" w:lineRule="exact"/>
        <w:jc w:val="both"/>
        <w:rPr>
          <w:rFonts w:ascii="方正黑体_GBK" w:eastAsia="方正黑体_GBK"/>
          <w:bCs/>
          <w:sz w:val="32"/>
          <w:szCs w:val="32"/>
          <w:lang w:eastAsia="zh-CN"/>
        </w:rPr>
      </w:pPr>
    </w:p>
    <w:p w:rsidR="000032C3" w:rsidRDefault="000032C3" w:rsidP="000032C3">
      <w:pPr>
        <w:widowControl w:val="0"/>
        <w:kinsoku/>
        <w:overflowPunct w:val="0"/>
        <w:autoSpaceDE/>
        <w:autoSpaceDN/>
        <w:spacing w:line="580" w:lineRule="exact"/>
        <w:jc w:val="center"/>
        <w:rPr>
          <w:rFonts w:ascii="方正小标宋_GBK" w:eastAsia="方正小标宋_GBK" w:hAnsi="Times New Roman" w:cs="Times New Roman" w:hint="eastAsia"/>
          <w:sz w:val="44"/>
          <w:szCs w:val="32"/>
          <w:lang w:eastAsia="zh-CN"/>
        </w:rPr>
      </w:pPr>
      <w:bookmarkStart w:id="0" w:name="_GoBack"/>
      <w:r>
        <w:rPr>
          <w:rFonts w:ascii="方正小标宋_GBK" w:eastAsia="方正小标宋_GBK" w:hAnsi="Times New Roman" w:cs="Times New Roman" w:hint="eastAsia"/>
          <w:sz w:val="44"/>
          <w:szCs w:val="32"/>
          <w:lang w:eastAsia="zh-CN"/>
        </w:rPr>
        <w:t>2026年—2027年广西民政政策理论</w:t>
      </w:r>
    </w:p>
    <w:p w:rsidR="000032C3" w:rsidRDefault="000032C3" w:rsidP="000032C3">
      <w:pPr>
        <w:widowControl w:val="0"/>
        <w:kinsoku/>
        <w:overflowPunct w:val="0"/>
        <w:autoSpaceDE/>
        <w:autoSpaceDN/>
        <w:spacing w:line="580" w:lineRule="exact"/>
        <w:jc w:val="center"/>
        <w:rPr>
          <w:rFonts w:ascii="方正小标宋_GBK" w:eastAsia="方正小标宋_GBK" w:hAnsi="Times New Roman" w:cs="Times New Roman" w:hint="eastAsia"/>
          <w:sz w:val="44"/>
          <w:szCs w:val="32"/>
          <w:lang w:eastAsia="zh-CN"/>
        </w:rPr>
      </w:pPr>
      <w:r>
        <w:rPr>
          <w:rFonts w:ascii="方正小标宋_GBK" w:eastAsia="方正小标宋_GBK" w:hAnsi="Times New Roman" w:cs="Times New Roman" w:hint="eastAsia"/>
          <w:sz w:val="44"/>
          <w:szCs w:val="32"/>
          <w:lang w:eastAsia="zh-CN"/>
        </w:rPr>
        <w:t>研究课题指南</w:t>
      </w:r>
    </w:p>
    <w:bookmarkEnd w:id="0"/>
    <w:p w:rsidR="000032C3" w:rsidRDefault="000032C3" w:rsidP="000032C3">
      <w:pPr>
        <w:widowControl w:val="0"/>
        <w:kinsoku/>
        <w:overflowPunct w:val="0"/>
        <w:autoSpaceDE/>
        <w:autoSpaceDN/>
        <w:spacing w:line="580" w:lineRule="exact"/>
        <w:jc w:val="both"/>
        <w:rPr>
          <w:rFonts w:ascii="方正小标宋_GBK" w:eastAsia="方正小标宋_GBK" w:hAnsi="Times New Roman" w:cs="Times New Roman" w:hint="eastAsia"/>
          <w:sz w:val="32"/>
          <w:szCs w:val="32"/>
          <w:lang w:eastAsia="zh-CN"/>
        </w:rPr>
      </w:pPr>
    </w:p>
    <w:p w:rsidR="000032C3" w:rsidRDefault="000032C3" w:rsidP="000032C3">
      <w:pPr>
        <w:widowControl w:val="0"/>
        <w:kinsoku/>
        <w:overflowPunct w:val="0"/>
        <w:autoSpaceDE/>
        <w:autoSpaceDN/>
        <w:spacing w:line="580" w:lineRule="exact"/>
        <w:ind w:firstLineChars="200" w:firstLine="640"/>
        <w:jc w:val="both"/>
        <w:rPr>
          <w:rFonts w:ascii="方正黑体_GBK" w:eastAsia="方正黑体_GBK" w:hAnsi="黑体" w:cs="黑体" w:hint="eastAsia"/>
          <w:sz w:val="32"/>
          <w:szCs w:val="32"/>
          <w:lang w:eastAsia="zh-CN"/>
        </w:rPr>
      </w:pPr>
      <w:r>
        <w:rPr>
          <w:rFonts w:ascii="方正黑体_GBK" w:eastAsia="方正黑体_GBK" w:hAnsi="黑体" w:cs="黑体" w:hint="eastAsia"/>
          <w:sz w:val="32"/>
          <w:szCs w:val="32"/>
          <w:lang w:eastAsia="zh-CN"/>
        </w:rPr>
        <w:t>一、民政综合</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《习近平关于民政工作论述摘编》学习宣传贯彻工作机制研究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广西民政“十五五”历史方位和战略任务研究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“暖心民政”政策机制与实施路径研究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广西边境地区民政服务能力提升专项行动和广西大型易地扶贫搬迁集中安置点民政公共服务设施建设中期评估研究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巩固拓展社会救助、养老服务、公益慈善、殡葬等领域专项整治成果研究</w:t>
      </w:r>
    </w:p>
    <w:p w:rsidR="000032C3" w:rsidRDefault="000032C3" w:rsidP="000032C3">
      <w:pPr>
        <w:widowControl w:val="0"/>
        <w:numPr>
          <w:ilvl w:val="0"/>
          <w:numId w:val="1"/>
        </w:numPr>
        <w:kinsoku/>
        <w:overflowPunct w:val="0"/>
        <w:autoSpaceDE/>
        <w:autoSpaceDN/>
        <w:spacing w:line="580" w:lineRule="exact"/>
        <w:ind w:firstLineChars="200" w:firstLine="616"/>
        <w:jc w:val="both"/>
        <w:rPr>
          <w:rFonts w:ascii="Times New Roman" w:eastAsia="方正仿宋_GBK" w:hAnsi="Times New Roman" w:cs="Times New Roman" w:hint="eastAsia"/>
          <w:spacing w:val="-6"/>
          <w:sz w:val="32"/>
          <w:szCs w:val="32"/>
          <w:lang w:eastAsia="zh-CN"/>
        </w:rPr>
      </w:pPr>
      <w:r>
        <w:rPr>
          <w:rFonts w:ascii="Times New Roman" w:eastAsia="方正仿宋_GBK" w:hAnsi="Times New Roman" w:cs="Times New Roman" w:hint="eastAsia"/>
          <w:spacing w:val="-6"/>
          <w:sz w:val="32"/>
          <w:szCs w:val="32"/>
          <w:lang w:eastAsia="zh-CN"/>
        </w:rPr>
        <w:t>巩固拓展民政领域巡视巡察反馈问题整改工作成果研究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民政部门政绩观研究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广西民政部门“强化以身作则、强化责任担当”研究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民政领域基本公共服务均等化评价标准研究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银发经济、康复辅助器具产业、地名服务在培育新的经济增长点中的助力作用研究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加强基层民政力量建设的路径研究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以民政服务站建设为平台统筹民政领域为民服务内</w:t>
      </w:r>
      <w:r>
        <w:rPr>
          <w:rFonts w:ascii="Times New Roman" w:eastAsia="方正仿宋_GBK" w:hAnsi="Times New Roman" w:cs="Times New Roman" w:hint="eastAsia"/>
          <w:sz w:val="32"/>
          <w:szCs w:val="32"/>
          <w:lang w:eastAsia="zh-CN"/>
        </w:rPr>
        <w:lastRenderedPageBreak/>
        <w:t>容和购买服务资金保障机制研究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民政领域高技能人才、专业技术人才队伍建设研究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民政部门集中培训机制研究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优化民政服务设施使用效率研究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民政服务机构安全能力提升机制研究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民政领域信访问题源头治理研究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民政舆情回应处置机制研究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建立健全广西民政系统法规政策制度体系之路径方向、策略与方法探索研究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民政部门担任遗产管理人制度之探索研究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村（社区）“两委”换届工作中民政部门职能职责落实路径研究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民政综合监管和执法体系建设研究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民政标准宣贯实施机制研究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民政主题数据库与民政业务应用一体化建设研究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民政档案落实好“四个好”“两个服务”目标要求研究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民政领域对外开放合作机制研究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民政部门统计监测体系建设研究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福彩公益金绩效管理和监督效能提升研究</w:t>
      </w:r>
    </w:p>
    <w:p w:rsidR="000032C3" w:rsidRDefault="000032C3" w:rsidP="000032C3">
      <w:pPr>
        <w:widowControl w:val="0"/>
        <w:numPr>
          <w:ilvl w:val="0"/>
          <w:numId w:val="1"/>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民政离退休和老龄养老工作融合机制研究</w:t>
      </w:r>
    </w:p>
    <w:p w:rsidR="000032C3" w:rsidRDefault="000032C3" w:rsidP="000032C3">
      <w:pPr>
        <w:widowControl w:val="0"/>
        <w:kinsoku/>
        <w:overflowPunct w:val="0"/>
        <w:autoSpaceDE/>
        <w:autoSpaceDN/>
        <w:spacing w:line="580" w:lineRule="exact"/>
        <w:ind w:firstLineChars="200" w:firstLine="640"/>
        <w:jc w:val="both"/>
        <w:rPr>
          <w:rFonts w:ascii="方正黑体_GBK" w:eastAsia="方正黑体_GBK" w:hAnsi="黑体" w:cs="黑体" w:hint="eastAsia"/>
          <w:sz w:val="32"/>
          <w:szCs w:val="32"/>
          <w:lang w:eastAsia="zh-CN"/>
        </w:rPr>
      </w:pPr>
    </w:p>
    <w:p w:rsidR="000032C3" w:rsidRDefault="000032C3" w:rsidP="000032C3">
      <w:pPr>
        <w:widowControl w:val="0"/>
        <w:kinsoku/>
        <w:overflowPunct w:val="0"/>
        <w:autoSpaceDE/>
        <w:autoSpaceDN/>
        <w:spacing w:line="580" w:lineRule="exact"/>
        <w:ind w:firstLineChars="200" w:firstLine="640"/>
        <w:jc w:val="both"/>
        <w:rPr>
          <w:rFonts w:ascii="方正黑体_GBK" w:eastAsia="方正黑体_GBK" w:hAnsi="黑体" w:cs="黑体" w:hint="eastAsia"/>
          <w:sz w:val="32"/>
          <w:szCs w:val="32"/>
          <w:lang w:eastAsia="zh-CN"/>
        </w:rPr>
      </w:pPr>
      <w:r>
        <w:rPr>
          <w:rFonts w:ascii="方正黑体_GBK" w:eastAsia="方正黑体_GBK" w:hAnsi="黑体" w:cs="黑体" w:hint="eastAsia"/>
          <w:sz w:val="32"/>
          <w:szCs w:val="32"/>
          <w:lang w:eastAsia="zh-CN"/>
        </w:rPr>
        <w:lastRenderedPageBreak/>
        <w:t>二、老龄养老</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广西失能（含失智）老年人服务需求调查研究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广西推进老年友好型社会建设研究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“老有所为”视角下广西老年人力资源开发研究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“八桂银龄守护”志愿服务专项行动中期评估研究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人口老龄化背景下老年活动中心建设模式与运营效能提升研究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巩固拓展老年友好型社区建设成果研究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基层老年协会实现质的有效提升和量的合理增长路径研究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老年友善医疗机构建设研究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老年教育多元化供给准入体系创新研究：基于分类管理、模式创新与备案监管的整合框架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完善价格形成机制支持普惠养老服务研究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养老服务三级网络建设标准和服务质量研究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养老领域智能产品和设备市场调查研究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养老服务与长期护理保险制度衔接研究</w:t>
      </w:r>
    </w:p>
    <w:p w:rsidR="000032C3" w:rsidRDefault="000032C3" w:rsidP="000032C3">
      <w:pPr>
        <w:widowControl w:val="0"/>
        <w:numPr>
          <w:ilvl w:val="0"/>
          <w:numId w:val="2"/>
        </w:numPr>
        <w:kinsoku/>
        <w:overflowPunct w:val="0"/>
        <w:autoSpaceDE/>
        <w:autoSpaceDN/>
        <w:spacing w:line="580" w:lineRule="exact"/>
        <w:ind w:firstLineChars="200" w:firstLine="616"/>
        <w:jc w:val="both"/>
        <w:rPr>
          <w:rFonts w:ascii="Times New Roman" w:eastAsia="方正仿宋_GBK" w:hAnsi="Times New Roman" w:cs="Times New Roman" w:hint="eastAsia"/>
          <w:spacing w:val="-6"/>
          <w:sz w:val="32"/>
          <w:szCs w:val="32"/>
          <w:lang w:eastAsia="zh-CN"/>
        </w:rPr>
      </w:pPr>
      <w:r>
        <w:rPr>
          <w:rFonts w:ascii="Times New Roman" w:eastAsia="方正仿宋_GBK" w:hAnsi="Times New Roman" w:cs="Times New Roman" w:hint="eastAsia"/>
          <w:spacing w:val="-6"/>
          <w:sz w:val="32"/>
          <w:szCs w:val="32"/>
          <w:lang w:eastAsia="zh-CN"/>
        </w:rPr>
        <w:t>广西完善公建民营养老机构运营和管理制度体系研究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社区嵌入式养老服务设施建设研究</w:t>
      </w:r>
    </w:p>
    <w:p w:rsidR="000032C3" w:rsidRDefault="000032C3" w:rsidP="000032C3">
      <w:pPr>
        <w:widowControl w:val="0"/>
        <w:numPr>
          <w:ilvl w:val="0"/>
          <w:numId w:val="2"/>
        </w:numPr>
        <w:kinsoku/>
        <w:overflowPunct w:val="0"/>
        <w:autoSpaceDE/>
        <w:autoSpaceDN/>
        <w:spacing w:line="580" w:lineRule="exact"/>
        <w:ind w:firstLineChars="200" w:firstLine="616"/>
        <w:jc w:val="both"/>
        <w:rPr>
          <w:rFonts w:ascii="Times New Roman" w:eastAsia="方正仿宋_GBK" w:hAnsi="Times New Roman" w:cs="Times New Roman" w:hint="eastAsia"/>
          <w:spacing w:val="-6"/>
          <w:sz w:val="32"/>
          <w:szCs w:val="32"/>
          <w:lang w:eastAsia="zh-CN"/>
        </w:rPr>
      </w:pPr>
      <w:r>
        <w:rPr>
          <w:rFonts w:ascii="Times New Roman" w:eastAsia="方正仿宋_GBK" w:hAnsi="Times New Roman" w:cs="Times New Roman" w:hint="eastAsia"/>
          <w:spacing w:val="-6"/>
          <w:sz w:val="32"/>
          <w:szCs w:val="32"/>
          <w:lang w:eastAsia="zh-CN"/>
        </w:rPr>
        <w:t>中小型（</w:t>
      </w:r>
      <w:r>
        <w:rPr>
          <w:rFonts w:ascii="Times New Roman" w:eastAsia="方正仿宋_GBK" w:hAnsi="Times New Roman" w:cs="Times New Roman" w:hint="eastAsia"/>
          <w:spacing w:val="-6"/>
          <w:sz w:val="32"/>
          <w:szCs w:val="32"/>
          <w:lang w:eastAsia="zh-CN"/>
        </w:rPr>
        <w:t>200</w:t>
      </w:r>
      <w:r>
        <w:rPr>
          <w:rFonts w:ascii="Times New Roman" w:eastAsia="方正仿宋_GBK" w:hAnsi="Times New Roman" w:cs="Times New Roman" w:hint="eastAsia"/>
          <w:spacing w:val="-6"/>
          <w:sz w:val="32"/>
          <w:szCs w:val="32"/>
          <w:lang w:eastAsia="zh-CN"/>
        </w:rPr>
        <w:t>张床位以下）养老机构消防安全管理研究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农村“家门口”养老服务站建设研究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护理型养老床位发展与监测研究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lastRenderedPageBreak/>
        <w:t>广西老年助餐服务工作评估研究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广西高龄补贴“免申即享”管理研究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特殊困难老年人探访关爱服务机制研究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公办养老机构建设与运营研究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广西旅居养老市场开发建设研究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释放旅居养老住房需求潜力研究</w:t>
      </w:r>
    </w:p>
    <w:p w:rsidR="000032C3" w:rsidRDefault="000032C3" w:rsidP="000032C3">
      <w:pPr>
        <w:widowControl w:val="0"/>
        <w:numPr>
          <w:ilvl w:val="0"/>
          <w:numId w:val="2"/>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广西银发经济供需研究</w:t>
      </w:r>
    </w:p>
    <w:p w:rsidR="000032C3" w:rsidRDefault="000032C3" w:rsidP="000032C3">
      <w:pPr>
        <w:widowControl w:val="0"/>
        <w:kinsoku/>
        <w:overflowPunct w:val="0"/>
        <w:autoSpaceDE/>
        <w:autoSpaceDN/>
        <w:spacing w:line="580" w:lineRule="exact"/>
        <w:ind w:firstLineChars="200" w:firstLine="640"/>
        <w:jc w:val="both"/>
        <w:rPr>
          <w:rFonts w:ascii="方正黑体_GBK" w:eastAsia="方正黑体_GBK" w:hAnsi="黑体" w:cs="黑体" w:hint="eastAsia"/>
          <w:sz w:val="32"/>
          <w:szCs w:val="32"/>
          <w:lang w:eastAsia="zh-CN"/>
        </w:rPr>
      </w:pPr>
    </w:p>
    <w:p w:rsidR="000032C3" w:rsidRDefault="000032C3" w:rsidP="000032C3">
      <w:pPr>
        <w:widowControl w:val="0"/>
        <w:kinsoku/>
        <w:overflowPunct w:val="0"/>
        <w:autoSpaceDE/>
        <w:autoSpaceDN/>
        <w:spacing w:line="580" w:lineRule="exact"/>
        <w:ind w:firstLineChars="200" w:firstLine="640"/>
        <w:jc w:val="both"/>
        <w:rPr>
          <w:rFonts w:ascii="方正黑体_GBK" w:eastAsia="方正黑体_GBK" w:hAnsi="黑体" w:cs="黑体" w:hint="eastAsia"/>
          <w:sz w:val="32"/>
          <w:szCs w:val="32"/>
          <w:lang w:eastAsia="zh-CN"/>
        </w:rPr>
      </w:pPr>
      <w:r>
        <w:rPr>
          <w:rFonts w:ascii="方正黑体_GBK" w:eastAsia="方正黑体_GBK" w:hAnsi="黑体" w:cs="黑体" w:hint="eastAsia"/>
          <w:sz w:val="32"/>
          <w:szCs w:val="32"/>
          <w:lang w:eastAsia="zh-CN"/>
        </w:rPr>
        <w:t>三、社会救助</w:t>
      </w:r>
    </w:p>
    <w:p w:rsidR="000032C3" w:rsidRDefault="000032C3" w:rsidP="000032C3">
      <w:pPr>
        <w:widowControl w:val="0"/>
        <w:numPr>
          <w:ilvl w:val="0"/>
          <w:numId w:val="3"/>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边境少数民族地区服务类社会救助机制研究</w:t>
      </w:r>
    </w:p>
    <w:p w:rsidR="000032C3" w:rsidRDefault="000032C3" w:rsidP="000032C3">
      <w:pPr>
        <w:widowControl w:val="0"/>
        <w:numPr>
          <w:ilvl w:val="0"/>
          <w:numId w:val="3"/>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社会救助经办服务标准化建设研究</w:t>
      </w:r>
    </w:p>
    <w:p w:rsidR="000032C3" w:rsidRDefault="000032C3" w:rsidP="000032C3">
      <w:pPr>
        <w:widowControl w:val="0"/>
        <w:numPr>
          <w:ilvl w:val="0"/>
          <w:numId w:val="3"/>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推进高效办成社会救助“一件事”改革研究</w:t>
      </w:r>
    </w:p>
    <w:p w:rsidR="000032C3" w:rsidRDefault="000032C3" w:rsidP="000032C3">
      <w:pPr>
        <w:widowControl w:val="0"/>
        <w:numPr>
          <w:ilvl w:val="0"/>
          <w:numId w:val="3"/>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完善社会救助“线上网络化、线下网格化”工作机制对策研究</w:t>
      </w:r>
    </w:p>
    <w:p w:rsidR="000032C3" w:rsidRDefault="000032C3" w:rsidP="000032C3">
      <w:pPr>
        <w:widowControl w:val="0"/>
        <w:numPr>
          <w:ilvl w:val="0"/>
          <w:numId w:val="3"/>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社会救助从数据化向数智化转型发展研究</w:t>
      </w:r>
    </w:p>
    <w:p w:rsidR="000032C3" w:rsidRDefault="000032C3" w:rsidP="000032C3">
      <w:pPr>
        <w:widowControl w:val="0"/>
        <w:numPr>
          <w:ilvl w:val="0"/>
          <w:numId w:val="3"/>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特困人员住院护理保险服务试点研究</w:t>
      </w:r>
    </w:p>
    <w:p w:rsidR="000032C3" w:rsidRDefault="000032C3" w:rsidP="000032C3">
      <w:pPr>
        <w:widowControl w:val="0"/>
        <w:numPr>
          <w:ilvl w:val="0"/>
          <w:numId w:val="3"/>
        </w:numPr>
        <w:kinsoku/>
        <w:overflowPunct w:val="0"/>
        <w:autoSpaceDE/>
        <w:autoSpaceDN/>
        <w:spacing w:line="580" w:lineRule="exact"/>
        <w:ind w:firstLineChars="200" w:firstLine="616"/>
        <w:jc w:val="both"/>
        <w:rPr>
          <w:rFonts w:ascii="方正仿宋_GBK" w:eastAsia="方正仿宋_GBK" w:hAnsi="方正仿宋_GBK" w:cs="方正仿宋_GBK" w:hint="eastAsia"/>
          <w:spacing w:val="-6"/>
          <w:sz w:val="32"/>
          <w:szCs w:val="32"/>
          <w:lang w:eastAsia="zh-CN"/>
        </w:rPr>
      </w:pPr>
      <w:r>
        <w:rPr>
          <w:rFonts w:ascii="方正仿宋_GBK" w:eastAsia="方正仿宋_GBK" w:hAnsi="方正仿宋_GBK" w:cs="方正仿宋_GBK" w:hint="eastAsia"/>
          <w:spacing w:val="-6"/>
          <w:sz w:val="32"/>
          <w:szCs w:val="32"/>
          <w:lang w:eastAsia="zh-CN"/>
        </w:rPr>
        <w:t>低保边缘家庭和刚性支出困难家庭认定与及时救助研究</w:t>
      </w:r>
    </w:p>
    <w:p w:rsidR="000032C3" w:rsidRDefault="000032C3" w:rsidP="000032C3">
      <w:pPr>
        <w:widowControl w:val="0"/>
        <w:numPr>
          <w:ilvl w:val="0"/>
          <w:numId w:val="3"/>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数字政府背景下广西居民家庭经济状况跨部门信息共享的障碍分析与协同机制构建研究</w:t>
      </w:r>
    </w:p>
    <w:p w:rsidR="000032C3" w:rsidRDefault="000032C3" w:rsidP="000032C3">
      <w:pPr>
        <w:widowControl w:val="0"/>
        <w:numPr>
          <w:ilvl w:val="0"/>
          <w:numId w:val="3"/>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低收入家庭经济状况核对中的个人隐私保护与数据安全边界研究</w:t>
      </w:r>
    </w:p>
    <w:p w:rsidR="000032C3" w:rsidRDefault="000032C3" w:rsidP="000032C3">
      <w:pPr>
        <w:widowControl w:val="0"/>
        <w:numPr>
          <w:ilvl w:val="0"/>
          <w:numId w:val="3"/>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“救助+保险”救助方式的有效性分析及完善路径研究</w:t>
      </w:r>
    </w:p>
    <w:p w:rsidR="000032C3" w:rsidRDefault="000032C3" w:rsidP="000032C3">
      <w:pPr>
        <w:widowControl w:val="0"/>
        <w:numPr>
          <w:ilvl w:val="0"/>
          <w:numId w:val="3"/>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lastRenderedPageBreak/>
        <w:t>新时代对广西救助管理工作转型发展的研究与思考</w:t>
      </w:r>
    </w:p>
    <w:p w:rsidR="000032C3" w:rsidRDefault="000032C3" w:rsidP="000032C3">
      <w:pPr>
        <w:widowControl w:val="0"/>
        <w:numPr>
          <w:ilvl w:val="0"/>
          <w:numId w:val="3"/>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救助管理区域性中心建设研究</w:t>
      </w:r>
    </w:p>
    <w:p w:rsidR="000032C3" w:rsidRDefault="000032C3" w:rsidP="000032C3">
      <w:pPr>
        <w:widowControl w:val="0"/>
        <w:numPr>
          <w:ilvl w:val="0"/>
          <w:numId w:val="3"/>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救助寻亲部门协同机制研究</w:t>
      </w:r>
    </w:p>
    <w:p w:rsidR="000032C3" w:rsidRDefault="000032C3" w:rsidP="000032C3">
      <w:pPr>
        <w:widowControl w:val="0"/>
        <w:numPr>
          <w:ilvl w:val="0"/>
          <w:numId w:val="3"/>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救助对象落户安置难点及其对策研究</w:t>
      </w:r>
    </w:p>
    <w:p w:rsidR="000032C3" w:rsidRDefault="000032C3" w:rsidP="000032C3">
      <w:pPr>
        <w:widowControl w:val="0"/>
        <w:numPr>
          <w:ilvl w:val="0"/>
          <w:numId w:val="3"/>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精神卫生服务与流浪救助业务衔接研究</w:t>
      </w:r>
    </w:p>
    <w:p w:rsidR="000032C3" w:rsidRDefault="000032C3" w:rsidP="000032C3">
      <w:pPr>
        <w:widowControl w:val="0"/>
        <w:kinsoku/>
        <w:overflowPunct w:val="0"/>
        <w:autoSpaceDE/>
        <w:autoSpaceDN/>
        <w:spacing w:line="580" w:lineRule="exact"/>
        <w:ind w:firstLineChars="200" w:firstLine="640"/>
        <w:jc w:val="both"/>
        <w:rPr>
          <w:rFonts w:ascii="方正黑体_GBK" w:eastAsia="方正黑体_GBK" w:hAnsi="黑体" w:cs="黑体"/>
          <w:sz w:val="32"/>
          <w:szCs w:val="32"/>
          <w:lang w:eastAsia="zh-CN"/>
        </w:rPr>
      </w:pPr>
    </w:p>
    <w:p w:rsidR="000032C3" w:rsidRDefault="000032C3" w:rsidP="000032C3">
      <w:pPr>
        <w:widowControl w:val="0"/>
        <w:kinsoku/>
        <w:overflowPunct w:val="0"/>
        <w:autoSpaceDE/>
        <w:autoSpaceDN/>
        <w:spacing w:line="580" w:lineRule="exact"/>
        <w:ind w:firstLineChars="200" w:firstLine="640"/>
        <w:jc w:val="both"/>
        <w:rPr>
          <w:rFonts w:ascii="方正黑体_GBK" w:eastAsia="方正黑体_GBK" w:hAnsi="黑体" w:cs="黑体" w:hint="eastAsia"/>
          <w:sz w:val="32"/>
          <w:szCs w:val="32"/>
          <w:lang w:eastAsia="zh-CN"/>
        </w:rPr>
      </w:pPr>
      <w:r>
        <w:rPr>
          <w:rFonts w:ascii="方正黑体_GBK" w:eastAsia="方正黑体_GBK" w:hAnsi="黑体" w:cs="黑体" w:hint="eastAsia"/>
          <w:sz w:val="32"/>
          <w:szCs w:val="32"/>
          <w:lang w:eastAsia="zh-CN"/>
        </w:rPr>
        <w:t>四、社会福利</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color w:val="auto"/>
          <w:sz w:val="32"/>
          <w:szCs w:val="32"/>
          <w:lang w:eastAsia="zh-CN"/>
        </w:rPr>
        <w:t>高风险困境儿</w:t>
      </w:r>
      <w:r>
        <w:rPr>
          <w:rFonts w:ascii="方正仿宋_GBK" w:eastAsia="方正仿宋_GBK" w:hAnsi="方正仿宋_GBK" w:cs="方正仿宋_GBK" w:hint="eastAsia"/>
          <w:sz w:val="32"/>
          <w:szCs w:val="32"/>
          <w:lang w:eastAsia="zh-CN"/>
        </w:rPr>
        <w:t>童心理干预服务路径研究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精准帮扶视角下“牵手‘童’行”公益行动优化与创新研究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广西困境儿童分类保障体系优化与精准实施路径研究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困境儿童家庭监护评估规范和监护干预机制研究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困境孤独症儿童筛查、救治、康复等关爱服务研究</w:t>
      </w:r>
    </w:p>
    <w:p w:rsidR="000032C3" w:rsidRDefault="000032C3" w:rsidP="000032C3">
      <w:pPr>
        <w:widowControl w:val="0"/>
        <w:numPr>
          <w:ilvl w:val="0"/>
          <w:numId w:val="4"/>
        </w:numPr>
        <w:kinsoku/>
        <w:overflowPunct w:val="0"/>
        <w:autoSpaceDE/>
        <w:autoSpaceDN/>
        <w:spacing w:line="580" w:lineRule="exact"/>
        <w:ind w:firstLineChars="200" w:firstLine="616"/>
        <w:jc w:val="both"/>
        <w:rPr>
          <w:rFonts w:ascii="方正仿宋_GBK" w:eastAsia="方正仿宋_GBK" w:hAnsi="方正仿宋_GBK" w:cs="方正仿宋_GBK" w:hint="eastAsia"/>
          <w:spacing w:val="-6"/>
          <w:sz w:val="32"/>
          <w:szCs w:val="32"/>
          <w:lang w:eastAsia="zh-CN"/>
        </w:rPr>
      </w:pPr>
      <w:r>
        <w:rPr>
          <w:rFonts w:ascii="方正仿宋_GBK" w:eastAsia="方正仿宋_GBK" w:hAnsi="方正仿宋_GBK" w:cs="方正仿宋_GBK" w:hint="eastAsia"/>
          <w:spacing w:val="-6"/>
          <w:sz w:val="32"/>
          <w:szCs w:val="32"/>
          <w:lang w:eastAsia="zh-CN"/>
        </w:rPr>
        <w:t>广西散居困境儿童康复、照护与特教服务提质增效研究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引导社会力量参与困境儿童关爱服务路径研究（新增）</w:t>
      </w:r>
    </w:p>
    <w:p w:rsidR="000032C3" w:rsidRDefault="000032C3" w:rsidP="000032C3">
      <w:pPr>
        <w:widowControl w:val="0"/>
        <w:numPr>
          <w:ilvl w:val="0"/>
          <w:numId w:val="4"/>
        </w:numPr>
        <w:kinsoku/>
        <w:overflowPunct w:val="0"/>
        <w:autoSpaceDE/>
        <w:autoSpaceDN/>
        <w:spacing w:line="580" w:lineRule="exact"/>
        <w:ind w:firstLineChars="200" w:firstLine="616"/>
        <w:jc w:val="both"/>
        <w:rPr>
          <w:rFonts w:ascii="方正仿宋_GBK" w:eastAsia="方正仿宋_GBK" w:hAnsi="方正仿宋_GBK" w:cs="方正仿宋_GBK" w:hint="eastAsia"/>
          <w:spacing w:val="-6"/>
          <w:sz w:val="32"/>
          <w:szCs w:val="32"/>
          <w:lang w:eastAsia="zh-CN"/>
        </w:rPr>
      </w:pPr>
      <w:r>
        <w:rPr>
          <w:rFonts w:ascii="方正仿宋_GBK" w:eastAsia="方正仿宋_GBK" w:hAnsi="方正仿宋_GBK" w:cs="方正仿宋_GBK" w:hint="eastAsia"/>
          <w:spacing w:val="-6"/>
          <w:sz w:val="32"/>
          <w:szCs w:val="32"/>
          <w:lang w:eastAsia="zh-CN"/>
        </w:rPr>
        <w:t>流动儿童在居住地享有基本公共服务基础清单优化研究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儿童主任队伍专业化建设研究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人工智能技术赋能儿童主任实现精准关爱的路径研究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儿童福利机构创新转型及“开门办院”研究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人工智能在儿童福利机构安全管理、心理健康分析、康复、特殊教育等领域的应用研究</w:t>
      </w:r>
    </w:p>
    <w:p w:rsidR="000032C3" w:rsidRDefault="000032C3" w:rsidP="000032C3">
      <w:pPr>
        <w:widowControl w:val="0"/>
        <w:numPr>
          <w:ilvl w:val="0"/>
          <w:numId w:val="4"/>
        </w:numPr>
        <w:kinsoku/>
        <w:overflowPunct w:val="0"/>
        <w:autoSpaceDE/>
        <w:autoSpaceDN/>
        <w:spacing w:line="580" w:lineRule="exact"/>
        <w:ind w:firstLineChars="200" w:firstLine="616"/>
        <w:jc w:val="both"/>
        <w:rPr>
          <w:rFonts w:ascii="方正仿宋_GBK" w:eastAsia="方正仿宋_GBK" w:hAnsi="方正仿宋_GBK" w:cs="方正仿宋_GBK" w:hint="eastAsia"/>
          <w:spacing w:val="-6"/>
          <w:sz w:val="32"/>
          <w:szCs w:val="32"/>
          <w:lang w:eastAsia="zh-CN"/>
        </w:rPr>
      </w:pPr>
      <w:r>
        <w:rPr>
          <w:rFonts w:ascii="方正仿宋_GBK" w:eastAsia="方正仿宋_GBK" w:hAnsi="方正仿宋_GBK" w:cs="方正仿宋_GBK" w:hint="eastAsia"/>
          <w:spacing w:val="-6"/>
          <w:sz w:val="32"/>
          <w:szCs w:val="32"/>
          <w:lang w:eastAsia="zh-CN"/>
        </w:rPr>
        <w:t>儿童福利机构儿童心理健康服务路径优化与实践研究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lastRenderedPageBreak/>
        <w:t>儿童福利机构市域间集中养育机制研究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儿童福利机构收留抚养的儿童成年后安置工作研究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儿童福利机构与医疗、康复机构资源共享机制研究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从认知到需求：未成年人救助保护机构如何精准对接困境儿童家庭</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未成年人救助保护机构实体化、规范化和常态化运行研究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多元协同治理框架下村级儿童关爱服务点长效运营机制构建研究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残疾人“两项补贴”政策实施问题研究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重度残疾人托养照护服务探索研究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广西精神卫生服务体系建设研究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精神卫生福利机构支持社区精康服务实践研究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人工智能助力康复辅助器具产业发展研究</w:t>
      </w:r>
    </w:p>
    <w:p w:rsidR="000032C3" w:rsidRDefault="000032C3" w:rsidP="000032C3">
      <w:pPr>
        <w:widowControl w:val="0"/>
        <w:numPr>
          <w:ilvl w:val="0"/>
          <w:numId w:val="4"/>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广西康复辅助器具拓展东盟市场路径研究</w:t>
      </w:r>
    </w:p>
    <w:p w:rsidR="000032C3" w:rsidRDefault="000032C3" w:rsidP="000032C3">
      <w:pPr>
        <w:widowControl w:val="0"/>
        <w:numPr>
          <w:ilvl w:val="0"/>
          <w:numId w:val="4"/>
        </w:numPr>
        <w:kinsoku/>
        <w:overflowPunct w:val="0"/>
        <w:autoSpaceDE/>
        <w:autoSpaceDN/>
        <w:spacing w:line="580" w:lineRule="exact"/>
        <w:ind w:firstLineChars="200" w:firstLine="616"/>
        <w:jc w:val="both"/>
        <w:rPr>
          <w:rFonts w:ascii="方正仿宋_GBK" w:eastAsia="方正仿宋_GBK" w:hAnsi="方正仿宋_GBK" w:cs="方正仿宋_GBK" w:hint="eastAsia"/>
          <w:spacing w:val="-6"/>
          <w:sz w:val="32"/>
          <w:szCs w:val="32"/>
          <w:lang w:eastAsia="zh-CN"/>
        </w:rPr>
      </w:pPr>
      <w:r>
        <w:rPr>
          <w:rFonts w:ascii="方正仿宋_GBK" w:eastAsia="方正仿宋_GBK" w:hAnsi="方正仿宋_GBK" w:cs="方正仿宋_GBK" w:hint="eastAsia"/>
          <w:spacing w:val="-6"/>
          <w:sz w:val="32"/>
          <w:szCs w:val="32"/>
          <w:lang w:eastAsia="zh-CN"/>
        </w:rPr>
        <w:t>康复辅助器具提升助老助残服务质量实施策略研究</w:t>
      </w:r>
    </w:p>
    <w:p w:rsidR="000032C3" w:rsidRDefault="000032C3" w:rsidP="000032C3">
      <w:pPr>
        <w:widowControl w:val="0"/>
        <w:kinsoku/>
        <w:overflowPunct w:val="0"/>
        <w:autoSpaceDE/>
        <w:autoSpaceDN/>
        <w:spacing w:line="580" w:lineRule="exact"/>
        <w:ind w:firstLineChars="200" w:firstLine="640"/>
        <w:jc w:val="both"/>
        <w:rPr>
          <w:rFonts w:ascii="方正黑体_GBK" w:eastAsia="方正黑体_GBK" w:hAnsi="黑体" w:cs="黑体"/>
          <w:sz w:val="32"/>
          <w:szCs w:val="32"/>
          <w:lang w:eastAsia="zh-CN"/>
        </w:rPr>
      </w:pPr>
    </w:p>
    <w:p w:rsidR="000032C3" w:rsidRDefault="000032C3" w:rsidP="000032C3">
      <w:pPr>
        <w:widowControl w:val="0"/>
        <w:kinsoku/>
        <w:overflowPunct w:val="0"/>
        <w:autoSpaceDE/>
        <w:autoSpaceDN/>
        <w:spacing w:line="580" w:lineRule="exact"/>
        <w:ind w:firstLineChars="200" w:firstLine="640"/>
        <w:jc w:val="both"/>
        <w:rPr>
          <w:rFonts w:ascii="方正黑体_GBK" w:eastAsia="方正黑体_GBK" w:hAnsi="黑体" w:cs="黑体" w:hint="eastAsia"/>
          <w:sz w:val="32"/>
          <w:szCs w:val="32"/>
          <w:lang w:eastAsia="zh-CN"/>
        </w:rPr>
      </w:pPr>
      <w:r>
        <w:rPr>
          <w:rFonts w:ascii="方正黑体_GBK" w:eastAsia="方正黑体_GBK" w:hAnsi="黑体" w:cs="黑体" w:hint="eastAsia"/>
          <w:sz w:val="32"/>
          <w:szCs w:val="32"/>
          <w:lang w:eastAsia="zh-CN"/>
        </w:rPr>
        <w:t>五、社会事务</w:t>
      </w:r>
    </w:p>
    <w:p w:rsidR="000032C3" w:rsidRDefault="000032C3" w:rsidP="000032C3">
      <w:pPr>
        <w:widowControl w:val="0"/>
        <w:numPr>
          <w:ilvl w:val="0"/>
          <w:numId w:val="5"/>
        </w:numPr>
        <w:kinsoku/>
        <w:overflowPunct w:val="0"/>
        <w:autoSpaceDE/>
        <w:autoSpaceDN/>
        <w:spacing w:line="580" w:lineRule="exact"/>
        <w:ind w:firstLineChars="200" w:firstLine="616"/>
        <w:jc w:val="both"/>
        <w:rPr>
          <w:rFonts w:ascii="Times New Roman" w:eastAsia="方正仿宋_GBK" w:hAnsi="Times New Roman" w:cs="Times New Roman" w:hint="eastAsia"/>
          <w:spacing w:val="-6"/>
          <w:sz w:val="32"/>
          <w:szCs w:val="32"/>
          <w:lang w:eastAsia="zh-CN"/>
        </w:rPr>
      </w:pPr>
      <w:r>
        <w:rPr>
          <w:rFonts w:ascii="Times New Roman" w:eastAsia="方正仿宋_GBK" w:hAnsi="Times New Roman" w:cs="Times New Roman" w:hint="eastAsia"/>
          <w:spacing w:val="-6"/>
          <w:sz w:val="32"/>
          <w:szCs w:val="32"/>
          <w:lang w:eastAsia="zh-CN"/>
        </w:rPr>
        <w:t>发挥“白事先生”作用，推动殡葬移风易俗的机制研究</w:t>
      </w:r>
    </w:p>
    <w:p w:rsidR="000032C3" w:rsidRDefault="000032C3" w:rsidP="000032C3">
      <w:pPr>
        <w:widowControl w:val="0"/>
        <w:numPr>
          <w:ilvl w:val="0"/>
          <w:numId w:val="5"/>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科学划定火葬区的路径研究</w:t>
      </w:r>
    </w:p>
    <w:p w:rsidR="000032C3" w:rsidRDefault="000032C3" w:rsidP="000032C3">
      <w:pPr>
        <w:widowControl w:val="0"/>
        <w:numPr>
          <w:ilvl w:val="0"/>
          <w:numId w:val="5"/>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农村公益性墓地试点建设探索研究</w:t>
      </w:r>
    </w:p>
    <w:p w:rsidR="000032C3" w:rsidRDefault="000032C3" w:rsidP="000032C3">
      <w:pPr>
        <w:widowControl w:val="0"/>
        <w:numPr>
          <w:ilvl w:val="0"/>
          <w:numId w:val="5"/>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强化殡仪馆运营公益属性研究</w:t>
      </w:r>
    </w:p>
    <w:p w:rsidR="000032C3" w:rsidRDefault="000032C3" w:rsidP="000032C3">
      <w:pPr>
        <w:widowControl w:val="0"/>
        <w:numPr>
          <w:ilvl w:val="0"/>
          <w:numId w:val="5"/>
        </w:numPr>
        <w:kinsoku/>
        <w:overflowPunct w:val="0"/>
        <w:autoSpaceDE/>
        <w:autoSpaceDN/>
        <w:spacing w:line="58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hint="eastAsia"/>
          <w:sz w:val="32"/>
          <w:szCs w:val="32"/>
          <w:lang w:eastAsia="zh-CN"/>
        </w:rPr>
        <w:lastRenderedPageBreak/>
        <w:t>跨部门“身后一件事”联办机制研究</w:t>
      </w:r>
    </w:p>
    <w:p w:rsidR="000032C3" w:rsidRDefault="000032C3" w:rsidP="000032C3">
      <w:pPr>
        <w:widowControl w:val="0"/>
        <w:numPr>
          <w:ilvl w:val="0"/>
          <w:numId w:val="5"/>
        </w:numPr>
        <w:kinsoku/>
        <w:overflowPunct w:val="0"/>
        <w:autoSpaceDE/>
        <w:autoSpaceDN/>
        <w:spacing w:line="58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hint="eastAsia"/>
          <w:sz w:val="32"/>
          <w:szCs w:val="32"/>
          <w:lang w:eastAsia="zh-CN"/>
        </w:rPr>
        <w:t>殡葬领域部门协同综合监管体系研究</w:t>
      </w:r>
    </w:p>
    <w:p w:rsidR="000032C3" w:rsidRDefault="000032C3" w:rsidP="000032C3">
      <w:pPr>
        <w:widowControl w:val="0"/>
        <w:numPr>
          <w:ilvl w:val="0"/>
          <w:numId w:val="5"/>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推动惠民殡葬及移风易俗节地生态安葬政策对策研究</w:t>
      </w:r>
    </w:p>
    <w:p w:rsidR="000032C3" w:rsidRDefault="000032C3" w:rsidP="000032C3">
      <w:pPr>
        <w:widowControl w:val="0"/>
        <w:numPr>
          <w:ilvl w:val="0"/>
          <w:numId w:val="5"/>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生命文化教育与绿色殡葬改革研究</w:t>
      </w:r>
    </w:p>
    <w:p w:rsidR="000032C3" w:rsidRDefault="000032C3" w:rsidP="000032C3">
      <w:pPr>
        <w:widowControl w:val="0"/>
        <w:numPr>
          <w:ilvl w:val="0"/>
          <w:numId w:val="5"/>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流程再造高效办成结婚落户“一件事”民生服务研究</w:t>
      </w:r>
    </w:p>
    <w:p w:rsidR="000032C3" w:rsidRDefault="000032C3" w:rsidP="000032C3">
      <w:pPr>
        <w:widowControl w:val="0"/>
        <w:numPr>
          <w:ilvl w:val="0"/>
          <w:numId w:val="5"/>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婚俗改革实验区建设研究</w:t>
      </w:r>
    </w:p>
    <w:p w:rsidR="000032C3" w:rsidRDefault="000032C3" w:rsidP="000032C3">
      <w:pPr>
        <w:widowControl w:val="0"/>
        <w:numPr>
          <w:ilvl w:val="0"/>
          <w:numId w:val="5"/>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深化婚俗改革治理高价彩礼、稳固结婚率提升研究</w:t>
      </w:r>
    </w:p>
    <w:p w:rsidR="000032C3" w:rsidRDefault="000032C3" w:rsidP="000032C3">
      <w:pPr>
        <w:widowControl w:val="0"/>
        <w:numPr>
          <w:ilvl w:val="0"/>
          <w:numId w:val="5"/>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新时代婚姻登记“全国通办”背景下广西婚姻登记仪式规范化、特色化构建研究</w:t>
      </w:r>
    </w:p>
    <w:p w:rsidR="000032C3" w:rsidRDefault="000032C3" w:rsidP="000032C3">
      <w:pPr>
        <w:widowControl w:val="0"/>
        <w:numPr>
          <w:ilvl w:val="0"/>
          <w:numId w:val="5"/>
        </w:numPr>
        <w:kinsoku/>
        <w:overflowPunct w:val="0"/>
        <w:autoSpaceDE/>
        <w:autoSpaceDN/>
        <w:spacing w:line="580" w:lineRule="exact"/>
        <w:ind w:firstLineChars="200" w:firstLine="616"/>
        <w:jc w:val="both"/>
        <w:rPr>
          <w:rFonts w:ascii="Times New Roman" w:eastAsia="方正仿宋_GBK" w:hAnsi="Times New Roman" w:cs="Times New Roman" w:hint="eastAsia"/>
          <w:spacing w:val="-6"/>
          <w:sz w:val="32"/>
          <w:szCs w:val="32"/>
          <w:lang w:eastAsia="zh-CN"/>
        </w:rPr>
      </w:pPr>
      <w:r>
        <w:rPr>
          <w:rFonts w:ascii="Times New Roman" w:eastAsia="方正仿宋_GBK" w:hAnsi="Times New Roman" w:cs="Times New Roman" w:hint="eastAsia"/>
          <w:spacing w:val="-6"/>
          <w:sz w:val="32"/>
          <w:szCs w:val="32"/>
          <w:lang w:eastAsia="zh-CN"/>
        </w:rPr>
        <w:t>公园式景区式婚姻登记机关或户外颁证场所建设研究</w:t>
      </w:r>
    </w:p>
    <w:p w:rsidR="000032C3" w:rsidRDefault="000032C3" w:rsidP="000032C3">
      <w:pPr>
        <w:widowControl w:val="0"/>
        <w:numPr>
          <w:ilvl w:val="0"/>
          <w:numId w:val="5"/>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婚姻介绍机构的服务管理研究</w:t>
      </w:r>
    </w:p>
    <w:p w:rsidR="000032C3" w:rsidRDefault="000032C3" w:rsidP="000032C3">
      <w:pPr>
        <w:widowControl w:val="0"/>
        <w:numPr>
          <w:ilvl w:val="0"/>
          <w:numId w:val="5"/>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甜蜜经济研究</w:t>
      </w:r>
    </w:p>
    <w:p w:rsidR="000032C3" w:rsidRDefault="000032C3" w:rsidP="000032C3">
      <w:pPr>
        <w:widowControl w:val="0"/>
        <w:numPr>
          <w:ilvl w:val="0"/>
          <w:numId w:val="5"/>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婚姻家庭辅导服务体系建设研究</w:t>
      </w:r>
    </w:p>
    <w:p w:rsidR="000032C3" w:rsidRDefault="000032C3" w:rsidP="000032C3">
      <w:pPr>
        <w:widowControl w:val="0"/>
        <w:numPr>
          <w:ilvl w:val="0"/>
          <w:numId w:val="5"/>
        </w:numPr>
        <w:kinsoku/>
        <w:overflowPunct w:val="0"/>
        <w:autoSpaceDE/>
        <w:autoSpaceDN/>
        <w:spacing w:line="580" w:lineRule="exact"/>
        <w:ind w:firstLineChars="200" w:firstLine="640"/>
        <w:jc w:val="both"/>
        <w:rPr>
          <w:rFonts w:ascii="Times New Roman" w:eastAsia="方正仿宋_GBK" w:hAnsi="Times New Roman" w:cs="Times New Roman" w:hint="eastAsia"/>
          <w:sz w:val="32"/>
          <w:szCs w:val="32"/>
          <w:lang w:eastAsia="zh-CN"/>
        </w:rPr>
      </w:pPr>
      <w:r>
        <w:rPr>
          <w:rFonts w:ascii="Times New Roman" w:eastAsia="方正仿宋_GBK" w:hAnsi="Times New Roman" w:cs="Times New Roman" w:hint="eastAsia"/>
          <w:sz w:val="32"/>
          <w:szCs w:val="32"/>
          <w:lang w:eastAsia="zh-CN"/>
        </w:rPr>
        <w:t>中国边民与毗邻国边民婚姻登记研究</w:t>
      </w:r>
    </w:p>
    <w:p w:rsidR="000032C3" w:rsidRDefault="000032C3" w:rsidP="000032C3">
      <w:pPr>
        <w:widowControl w:val="0"/>
        <w:kinsoku/>
        <w:overflowPunct w:val="0"/>
        <w:autoSpaceDE/>
        <w:autoSpaceDN/>
        <w:spacing w:line="580" w:lineRule="exact"/>
        <w:ind w:firstLineChars="200" w:firstLine="640"/>
        <w:jc w:val="both"/>
        <w:rPr>
          <w:rFonts w:ascii="方正黑体_GBK" w:eastAsia="方正黑体_GBK" w:hAnsi="黑体" w:cs="黑体" w:hint="eastAsia"/>
          <w:sz w:val="32"/>
          <w:szCs w:val="32"/>
          <w:lang w:eastAsia="zh-CN"/>
        </w:rPr>
      </w:pPr>
    </w:p>
    <w:p w:rsidR="000032C3" w:rsidRDefault="000032C3" w:rsidP="000032C3">
      <w:pPr>
        <w:widowControl w:val="0"/>
        <w:kinsoku/>
        <w:overflowPunct w:val="0"/>
        <w:autoSpaceDE/>
        <w:autoSpaceDN/>
        <w:spacing w:line="580" w:lineRule="exact"/>
        <w:ind w:firstLineChars="200" w:firstLine="640"/>
        <w:jc w:val="both"/>
        <w:rPr>
          <w:rFonts w:ascii="方正黑体_GBK" w:eastAsia="方正黑体_GBK" w:hAnsi="黑体" w:cs="黑体" w:hint="eastAsia"/>
          <w:sz w:val="32"/>
          <w:szCs w:val="32"/>
          <w:lang w:eastAsia="zh-CN"/>
        </w:rPr>
      </w:pPr>
      <w:r>
        <w:rPr>
          <w:rFonts w:ascii="方正黑体_GBK" w:eastAsia="方正黑体_GBK" w:hAnsi="黑体" w:cs="黑体" w:hint="eastAsia"/>
          <w:sz w:val="32"/>
          <w:szCs w:val="32"/>
          <w:lang w:eastAsia="zh-CN"/>
        </w:rPr>
        <w:t>六、社会治理</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广西社会组织规范化建设研究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广西社会组织服务“暖心民政”探索与实践</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县域社会组织培育与发展策略研究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边疆民族地区社会组织服务民生保障路径与探索</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广西社会组织服务“走出去”路径与探索</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边疆民族地区大型易地搬迁安置区社会组织培育扶持</w:t>
      </w:r>
      <w:r>
        <w:rPr>
          <w:rFonts w:ascii="方正仿宋_GBK" w:eastAsia="方正仿宋_GBK" w:hAnsi="方正仿宋_GBK" w:cs="方正仿宋_GBK" w:hint="eastAsia"/>
          <w:sz w:val="32"/>
          <w:szCs w:val="32"/>
          <w:lang w:eastAsia="zh-CN"/>
        </w:rPr>
        <w:lastRenderedPageBreak/>
        <w:t>有效途径研究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边疆民族地区社会组织守边固边有效路径与探索实践</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新时代社会组织监管三级联动执法机制研究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非法社会组织常态化打击的路径研究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“人工智能+”赋能社会组织全周期服务场景建设路径研究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广西科技类社会组织培育路径研究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非营利性社会服务机构监管服务建设研究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广西社会组织公益创新创投方式研究</w:t>
      </w:r>
    </w:p>
    <w:p w:rsidR="000032C3" w:rsidRDefault="000032C3" w:rsidP="000032C3">
      <w:pPr>
        <w:widowControl w:val="0"/>
        <w:numPr>
          <w:ilvl w:val="0"/>
          <w:numId w:val="6"/>
        </w:numPr>
        <w:kinsoku/>
        <w:overflowPunct w:val="0"/>
        <w:autoSpaceDE/>
        <w:autoSpaceDN/>
        <w:spacing w:line="580" w:lineRule="exact"/>
        <w:ind w:firstLineChars="200" w:firstLine="616"/>
        <w:jc w:val="both"/>
        <w:rPr>
          <w:rFonts w:ascii="方正仿宋_GBK" w:eastAsia="方正仿宋_GBK" w:hAnsi="方正仿宋_GBK" w:cs="方正仿宋_GBK" w:hint="eastAsia"/>
          <w:spacing w:val="-6"/>
          <w:sz w:val="32"/>
          <w:szCs w:val="32"/>
          <w:lang w:eastAsia="zh-CN"/>
        </w:rPr>
      </w:pPr>
      <w:r>
        <w:rPr>
          <w:rFonts w:ascii="方正仿宋_GBK" w:eastAsia="方正仿宋_GBK" w:hAnsi="方正仿宋_GBK" w:cs="方正仿宋_GBK" w:hint="eastAsia"/>
          <w:spacing w:val="-6"/>
          <w:sz w:val="32"/>
          <w:szCs w:val="32"/>
          <w:lang w:eastAsia="zh-CN"/>
        </w:rPr>
        <w:t>引导动员社会组织充分吸纳高校毕业生就业路径研究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促进慈善事业高质量发展的政策体系研究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慈善领域综合监管研究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互联网公开募捐管理研究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慈善组织规范化管理创新措施研究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广西发展社区慈善（善行驿站）研究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慈善组织参与“政府救助＋慈善帮扶”策略研究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慈善募捐宣传动员引导机制研究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重大突发事件慈善力量动员参与机制研究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慈善信息公开与完善信用制度研究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广西推广“慈善一日捐”培育壮大慈善文化研究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慈善资源与民生保障供需对接路径研究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广西慈善主体培育研究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lastRenderedPageBreak/>
        <w:t>行政区划历史文化保护传承与活化利用机制研究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特定区域优化基层政区设置专项工作研究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智慧化界线管理的风险防控体系构建</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平安边界建设中的跨区域协同治理创新研究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乡村地名赋能乡村振兴的路径与政策支持</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推动“地名＋农文旅”融合发展研究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“乡村著名行动”实施路径研究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现代农业设施、乡村道路、景点、寄递物流站等地名和兴趣点上图研究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地名设标实际操作研究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广西标准地名使用推广研究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地名标志全域治理的数字化转型研究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地名信息库建设研究</w:t>
      </w:r>
    </w:p>
    <w:p w:rsidR="000032C3" w:rsidRDefault="000032C3" w:rsidP="000032C3">
      <w:pPr>
        <w:widowControl w:val="0"/>
        <w:numPr>
          <w:ilvl w:val="0"/>
          <w:numId w:val="6"/>
        </w:numPr>
        <w:kinsoku/>
        <w:overflowPunct w:val="0"/>
        <w:autoSpaceDE/>
        <w:autoSpaceDN/>
        <w:spacing w:line="580" w:lineRule="exact"/>
        <w:ind w:firstLineChars="200" w:firstLine="640"/>
        <w:jc w:val="both"/>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创新广西地名文化传播方式研究</w:t>
      </w:r>
    </w:p>
    <w:p w:rsidR="000032C3" w:rsidRDefault="000032C3" w:rsidP="000032C3">
      <w:pPr>
        <w:spacing w:line="580" w:lineRule="exact"/>
        <w:jc w:val="both"/>
        <w:rPr>
          <w:rFonts w:ascii="Times New Roman" w:eastAsia="方正仿宋_GBK" w:hAnsi="Times New Roman" w:cs="Times New Roman"/>
          <w:sz w:val="32"/>
          <w:szCs w:val="32"/>
          <w:lang w:eastAsia="zh-CN"/>
        </w:rPr>
      </w:pPr>
    </w:p>
    <w:p w:rsidR="000032C3" w:rsidRDefault="000032C3" w:rsidP="000032C3">
      <w:pPr>
        <w:spacing w:line="580" w:lineRule="exact"/>
        <w:jc w:val="both"/>
        <w:rPr>
          <w:rFonts w:ascii="Times New Roman" w:eastAsia="方正仿宋_GBK" w:hAnsi="Times New Roman" w:cs="Times New Roman"/>
          <w:sz w:val="32"/>
          <w:szCs w:val="32"/>
          <w:lang w:eastAsia="zh-CN"/>
        </w:rPr>
      </w:pPr>
    </w:p>
    <w:p w:rsidR="000032C3" w:rsidRDefault="000032C3" w:rsidP="000032C3">
      <w:pPr>
        <w:spacing w:line="580" w:lineRule="exact"/>
        <w:jc w:val="both"/>
        <w:rPr>
          <w:rFonts w:ascii="Times New Roman" w:eastAsia="方正仿宋_GBK" w:hAnsi="Times New Roman" w:cs="Times New Roman"/>
          <w:sz w:val="32"/>
          <w:szCs w:val="32"/>
          <w:shd w:val="clear" w:color="auto" w:fill="FFFFFF"/>
          <w:lang w:eastAsia="zh-CN"/>
        </w:rPr>
      </w:pPr>
    </w:p>
    <w:p w:rsidR="002539C7" w:rsidRDefault="002539C7">
      <w:pPr>
        <w:rPr>
          <w:lang w:eastAsia="zh-CN"/>
        </w:rPr>
      </w:pPr>
    </w:p>
    <w:sectPr w:rsidR="002539C7" w:rsidSect="000032C3">
      <w:pgSz w:w="11906" w:h="16838"/>
      <w:pgMar w:top="1985" w:right="1418" w:bottom="1985"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D41" w:rsidRDefault="00B97D41" w:rsidP="000032C3">
      <w:r>
        <w:separator/>
      </w:r>
    </w:p>
  </w:endnote>
  <w:endnote w:type="continuationSeparator" w:id="0">
    <w:p w:rsidR="00B97D41" w:rsidRDefault="00B97D41" w:rsidP="0000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D41" w:rsidRDefault="00B97D41" w:rsidP="000032C3">
      <w:r>
        <w:separator/>
      </w:r>
    </w:p>
  </w:footnote>
  <w:footnote w:type="continuationSeparator" w:id="0">
    <w:p w:rsidR="00B97D41" w:rsidRDefault="00B97D41" w:rsidP="000032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F3ABF6"/>
    <w:multiLevelType w:val="singleLevel"/>
    <w:tmpl w:val="8DF3ABF6"/>
    <w:lvl w:ilvl="0">
      <w:start w:val="1"/>
      <w:numFmt w:val="chineseCounting"/>
      <w:suff w:val="nothing"/>
      <w:lvlText w:val="（%1）"/>
      <w:lvlJc w:val="left"/>
      <w:rPr>
        <w:rFonts w:hint="eastAsia"/>
      </w:rPr>
    </w:lvl>
  </w:abstractNum>
  <w:abstractNum w:abstractNumId="1">
    <w:nsid w:val="9EF88BD6"/>
    <w:multiLevelType w:val="singleLevel"/>
    <w:tmpl w:val="9EF88BD6"/>
    <w:lvl w:ilvl="0">
      <w:start w:val="1"/>
      <w:numFmt w:val="chineseCounting"/>
      <w:suff w:val="nothing"/>
      <w:lvlText w:val="（%1）"/>
      <w:lvlJc w:val="left"/>
      <w:pPr>
        <w:ind w:left="0" w:firstLine="420"/>
      </w:pPr>
      <w:rPr>
        <w:rFonts w:hint="eastAsia"/>
      </w:rPr>
    </w:lvl>
  </w:abstractNum>
  <w:abstractNum w:abstractNumId="2">
    <w:nsid w:val="BD845747"/>
    <w:multiLevelType w:val="singleLevel"/>
    <w:tmpl w:val="BD845747"/>
    <w:lvl w:ilvl="0">
      <w:start w:val="1"/>
      <w:numFmt w:val="chineseCounting"/>
      <w:suff w:val="nothing"/>
      <w:lvlText w:val="（%1）"/>
      <w:lvlJc w:val="left"/>
      <w:pPr>
        <w:ind w:left="0" w:firstLine="420"/>
      </w:pPr>
      <w:rPr>
        <w:rFonts w:hint="eastAsia"/>
      </w:rPr>
    </w:lvl>
  </w:abstractNum>
  <w:abstractNum w:abstractNumId="3">
    <w:nsid w:val="2909B461"/>
    <w:multiLevelType w:val="singleLevel"/>
    <w:tmpl w:val="2909B461"/>
    <w:lvl w:ilvl="0">
      <w:start w:val="1"/>
      <w:numFmt w:val="chineseCounting"/>
      <w:suff w:val="nothing"/>
      <w:lvlText w:val="（%1）"/>
      <w:lvlJc w:val="left"/>
      <w:pPr>
        <w:ind w:left="0" w:firstLine="420"/>
      </w:pPr>
      <w:rPr>
        <w:rFonts w:hint="eastAsia"/>
      </w:rPr>
    </w:lvl>
  </w:abstractNum>
  <w:abstractNum w:abstractNumId="4">
    <w:nsid w:val="51A3678C"/>
    <w:multiLevelType w:val="singleLevel"/>
    <w:tmpl w:val="51A3678C"/>
    <w:lvl w:ilvl="0">
      <w:start w:val="1"/>
      <w:numFmt w:val="chineseCounting"/>
      <w:suff w:val="nothing"/>
      <w:lvlText w:val="（%1）"/>
      <w:lvlJc w:val="left"/>
      <w:pPr>
        <w:ind w:left="0" w:firstLine="420"/>
      </w:pPr>
      <w:rPr>
        <w:rFonts w:hint="eastAsia"/>
      </w:rPr>
    </w:lvl>
  </w:abstractNum>
  <w:abstractNum w:abstractNumId="5">
    <w:nsid w:val="69EF73F3"/>
    <w:multiLevelType w:val="singleLevel"/>
    <w:tmpl w:val="69EF73F3"/>
    <w:lvl w:ilvl="0">
      <w:start w:val="1"/>
      <w:numFmt w:val="chineseCounting"/>
      <w:suff w:val="nothing"/>
      <w:lvlText w:val="（%1）"/>
      <w:lvlJc w:val="left"/>
      <w:pPr>
        <w:ind w:left="0" w:firstLine="420"/>
      </w:pPr>
      <w:rPr>
        <w:rFonts w:hint="eastAsia"/>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665"/>
    <w:rsid w:val="000032C3"/>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0665"/>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97D41"/>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2C3"/>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32C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0032C3"/>
    <w:rPr>
      <w:sz w:val="18"/>
      <w:szCs w:val="18"/>
    </w:rPr>
  </w:style>
  <w:style w:type="paragraph" w:styleId="a4">
    <w:name w:val="footer"/>
    <w:basedOn w:val="a"/>
    <w:link w:val="Char0"/>
    <w:uiPriority w:val="99"/>
    <w:unhideWhenUsed/>
    <w:rsid w:val="000032C3"/>
    <w:pPr>
      <w:tabs>
        <w:tab w:val="center" w:pos="4153"/>
        <w:tab w:val="right" w:pos="8306"/>
      </w:tabs>
    </w:pPr>
    <w:rPr>
      <w:sz w:val="18"/>
      <w:szCs w:val="18"/>
    </w:rPr>
  </w:style>
  <w:style w:type="character" w:customStyle="1" w:styleId="Char0">
    <w:name w:val="页脚 Char"/>
    <w:basedOn w:val="a0"/>
    <w:link w:val="a4"/>
    <w:uiPriority w:val="99"/>
    <w:rsid w:val="000032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2C3"/>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32C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0032C3"/>
    <w:rPr>
      <w:sz w:val="18"/>
      <w:szCs w:val="18"/>
    </w:rPr>
  </w:style>
  <w:style w:type="paragraph" w:styleId="a4">
    <w:name w:val="footer"/>
    <w:basedOn w:val="a"/>
    <w:link w:val="Char0"/>
    <w:uiPriority w:val="99"/>
    <w:unhideWhenUsed/>
    <w:rsid w:val="000032C3"/>
    <w:pPr>
      <w:tabs>
        <w:tab w:val="center" w:pos="4153"/>
        <w:tab w:val="right" w:pos="8306"/>
      </w:tabs>
    </w:pPr>
    <w:rPr>
      <w:sz w:val="18"/>
      <w:szCs w:val="18"/>
    </w:rPr>
  </w:style>
  <w:style w:type="character" w:customStyle="1" w:styleId="Char0">
    <w:name w:val="页脚 Char"/>
    <w:basedOn w:val="a0"/>
    <w:link w:val="a4"/>
    <w:uiPriority w:val="99"/>
    <w:rsid w:val="000032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2026-02-27T08:58:00Z</dcterms:created>
  <dcterms:modified xsi:type="dcterms:W3CDTF">2026-02-27T08:59:00Z</dcterms:modified>
</cp:coreProperties>
</file>