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D" w:rsidRDefault="009D28BD" w:rsidP="009D28BD">
      <w:pPr>
        <w:autoSpaceDE w:val="0"/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011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广西学校壮汉双语教学研究会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2004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09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514500005071621568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南宁市燕子岭路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零兴宁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13607869796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420" w:lineRule="exact"/>
        <w:rPr>
          <w:rFonts w:eastAsia="方正仿宋_GBK" w:hint="eastAsia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012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广西马铃薯协会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2010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10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5145000056159956XJ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青秀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区民族大道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号环球时代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楼</w:t>
      </w:r>
      <w:r>
        <w:rPr>
          <w:rFonts w:eastAsia="方正仿宋_GBK" w:hint="eastAsia"/>
          <w:snapToGrid w:val="0"/>
          <w:kern w:val="0"/>
          <w:sz w:val="32"/>
          <w:szCs w:val="32"/>
        </w:rPr>
        <w:t>1624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丁刚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13907710899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42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 xml:space="preserve"> 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013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广西智慧农业生产力促进中心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52450000599841964P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南宁市民主路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－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号阳光新都</w:t>
      </w:r>
      <w:r>
        <w:rPr>
          <w:rFonts w:eastAsia="方正仿宋_GBK" w:hint="eastAsia"/>
          <w:snapToGrid w:val="0"/>
          <w:kern w:val="0"/>
          <w:sz w:val="32"/>
          <w:szCs w:val="32"/>
        </w:rPr>
        <w:t>C</w:t>
      </w:r>
      <w:r>
        <w:rPr>
          <w:rFonts w:eastAsia="方正仿宋_GBK" w:hint="eastAsia"/>
          <w:snapToGrid w:val="0"/>
          <w:kern w:val="0"/>
          <w:sz w:val="32"/>
          <w:szCs w:val="32"/>
        </w:rPr>
        <w:t>座</w:t>
      </w:r>
      <w:r>
        <w:rPr>
          <w:rFonts w:eastAsia="方正仿宋_GBK" w:hint="eastAsia"/>
          <w:snapToGrid w:val="0"/>
          <w:kern w:val="0"/>
          <w:sz w:val="32"/>
          <w:szCs w:val="32"/>
        </w:rPr>
        <w:t>13A16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苏雁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13878177732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</w:t>
      </w:r>
      <w:r>
        <w:rPr>
          <w:rFonts w:eastAsia="方正仿宋_GBK" w:hint="eastAsia"/>
          <w:snapToGrid w:val="0"/>
          <w:kern w:val="0"/>
          <w:sz w:val="32"/>
          <w:szCs w:val="32"/>
        </w:rPr>
        <w:t>《民办非企业登记管理暂行条例》第二十五条第（三）项和《民办非企业单位年度检查办法》第十条之规定</w:t>
      </w:r>
      <w:r>
        <w:rPr>
          <w:rFonts w:eastAsia="方正仿宋_GBK"/>
          <w:snapToGrid w:val="0"/>
          <w:kern w:val="0"/>
          <w:sz w:val="32"/>
          <w:szCs w:val="32"/>
        </w:rPr>
        <w:t>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lastRenderedPageBreak/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014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广西管理科学研究会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29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51450000507161778B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青秀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区民生路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号区政府大院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号楼</w:t>
      </w:r>
      <w:r>
        <w:rPr>
          <w:rFonts w:eastAsia="方正仿宋_GBK" w:hint="eastAsia"/>
          <w:snapToGrid w:val="0"/>
          <w:kern w:val="0"/>
          <w:sz w:val="32"/>
          <w:szCs w:val="32"/>
        </w:rPr>
        <w:t>407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陈斌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13878881019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9D28BD" w:rsidRDefault="009D28BD" w:rsidP="009D28BD">
      <w:pPr>
        <w:widowControl/>
        <w:jc w:val="left"/>
        <w:rPr>
          <w:rFonts w:eastAsia="方正仿宋_GBK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lastRenderedPageBreak/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015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广西投融资商会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12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5145000005950887XE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青秀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区金湖路</w:t>
      </w:r>
      <w:r>
        <w:rPr>
          <w:rFonts w:eastAsia="方正仿宋_GBK" w:hint="eastAsia"/>
          <w:snapToGrid w:val="0"/>
          <w:kern w:val="0"/>
          <w:sz w:val="32"/>
          <w:szCs w:val="32"/>
        </w:rPr>
        <w:t>59</w:t>
      </w:r>
      <w:r>
        <w:rPr>
          <w:rFonts w:eastAsia="方正仿宋_GBK" w:hint="eastAsia"/>
          <w:snapToGrid w:val="0"/>
          <w:kern w:val="0"/>
          <w:sz w:val="32"/>
          <w:szCs w:val="32"/>
        </w:rPr>
        <w:t>号地王大厦</w:t>
      </w:r>
      <w:r>
        <w:rPr>
          <w:rFonts w:eastAsia="方正仿宋_GBK" w:hint="eastAsia"/>
          <w:snapToGrid w:val="0"/>
          <w:kern w:val="0"/>
          <w:sz w:val="32"/>
          <w:szCs w:val="32"/>
        </w:rPr>
        <w:t>2108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陈杏枚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18977132666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rightChars="600" w:right="126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016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广西航空联谊会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2003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16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514500005071602220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南宁市桃源路</w:t>
      </w:r>
      <w:r>
        <w:rPr>
          <w:rFonts w:eastAsia="方正仿宋_GBK" w:hint="eastAsia"/>
          <w:snapToGrid w:val="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kern w:val="0"/>
          <w:sz w:val="32"/>
          <w:szCs w:val="32"/>
        </w:rPr>
        <w:t>号区政协大厦</w:t>
      </w:r>
      <w:r>
        <w:rPr>
          <w:rFonts w:eastAsia="方正仿宋_GBK" w:hint="eastAsia"/>
          <w:snapToGrid w:val="0"/>
          <w:kern w:val="0"/>
          <w:sz w:val="32"/>
          <w:szCs w:val="32"/>
        </w:rPr>
        <w:t>1102</w:t>
      </w:r>
      <w:r>
        <w:rPr>
          <w:rFonts w:eastAsia="方正仿宋_GBK" w:hint="eastAsia"/>
          <w:snapToGrid w:val="0"/>
          <w:kern w:val="0"/>
          <w:sz w:val="32"/>
          <w:szCs w:val="32"/>
        </w:rPr>
        <w:t>室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侯德彭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0771-5852098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年度检查工作的通知》</w:t>
      </w:r>
      <w:r>
        <w:rPr>
          <w:rFonts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《自治区民政厅关于开展全区性社会团体、民办非企业单位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年度检查</w:t>
      </w:r>
      <w:r>
        <w:rPr>
          <w:rFonts w:eastAsia="方正仿宋_GBK" w:hint="eastAsia"/>
          <w:snapToGrid w:val="0"/>
          <w:kern w:val="0"/>
          <w:sz w:val="32"/>
          <w:szCs w:val="32"/>
        </w:rPr>
        <w:t>工作</w:t>
      </w:r>
      <w:r>
        <w:rPr>
          <w:rFonts w:eastAsia="方正仿宋_GBK"/>
          <w:snapToGrid w:val="0"/>
          <w:kern w:val="0"/>
          <w:sz w:val="32"/>
          <w:szCs w:val="32"/>
        </w:rPr>
        <w:t>的通知》、</w:t>
      </w:r>
      <w:r>
        <w:rPr>
          <w:rFonts w:eastAsia="方正仿宋_GBK" w:hint="eastAsia"/>
          <w:snapToGrid w:val="0"/>
          <w:kern w:val="0"/>
          <w:sz w:val="32"/>
          <w:szCs w:val="32"/>
        </w:rPr>
        <w:t>社会团体法人登记证书（电子证照）、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年度年检报告网上提交情况截图等证据证实。根据《社会团体登记管理条例》第三十条第一款第（三）项之规定，本机关决定对你单位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  <w:sectPr w:rsidR="009D28BD">
          <w:pgSz w:w="11906" w:h="16838"/>
          <w:pgMar w:top="1985" w:right="1418" w:bottom="1985" w:left="1418" w:header="851" w:footer="1531" w:gutter="0"/>
          <w:cols w:space="720"/>
          <w:titlePg/>
          <w:docGrid w:type="lines" w:linePitch="312"/>
        </w:sect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proofErr w:type="gramStart"/>
      <w:r>
        <w:rPr>
          <w:rFonts w:eastAsia="方正仿宋_GBK"/>
          <w:snapToGrid w:val="0"/>
          <w:kern w:val="0"/>
          <w:sz w:val="32"/>
          <w:szCs w:val="32"/>
        </w:rPr>
        <w:t>桂民罚〔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第</w:t>
      </w:r>
      <w:r>
        <w:rPr>
          <w:rFonts w:eastAsia="方正仿宋_GBK" w:hint="eastAsia"/>
          <w:snapToGrid w:val="0"/>
          <w:kern w:val="0"/>
          <w:sz w:val="32"/>
          <w:szCs w:val="32"/>
        </w:rPr>
        <w:t>017</w:t>
      </w:r>
      <w:r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9D28BD" w:rsidRDefault="009D28BD" w:rsidP="009D28BD">
      <w:pPr>
        <w:overflowPunct w:val="0"/>
        <w:adjustRightInd w:val="0"/>
        <w:snapToGrid w:val="0"/>
        <w:spacing w:line="9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行政处罚决定书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社会组织名称：</w:t>
      </w:r>
      <w:r>
        <w:rPr>
          <w:rFonts w:eastAsia="方正仿宋_GBK" w:hint="eastAsia"/>
          <w:snapToGrid w:val="0"/>
          <w:kern w:val="0"/>
          <w:sz w:val="32"/>
          <w:szCs w:val="32"/>
        </w:rPr>
        <w:t>广西可高基金会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登记日期：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>2013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22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统一社会信用代码：</w:t>
      </w:r>
      <w:r>
        <w:rPr>
          <w:rFonts w:eastAsia="方正仿宋_GBK" w:hint="eastAsia"/>
          <w:snapToGrid w:val="0"/>
          <w:kern w:val="0"/>
          <w:sz w:val="32"/>
          <w:szCs w:val="32"/>
        </w:rPr>
        <w:t>534500000617430197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住所：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南宁市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青秀区星湖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路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 w:hint="eastAsia"/>
          <w:snapToGrid w:val="0"/>
          <w:kern w:val="0"/>
          <w:sz w:val="32"/>
          <w:szCs w:val="32"/>
        </w:rPr>
        <w:t>号可高至胜商贸广场</w:t>
      </w:r>
      <w:r>
        <w:rPr>
          <w:rFonts w:eastAsia="方正仿宋_GBK" w:hint="eastAsia"/>
          <w:snapToGrid w:val="0"/>
          <w:kern w:val="0"/>
          <w:sz w:val="32"/>
          <w:szCs w:val="32"/>
        </w:rPr>
        <w:t>15</w:t>
      </w:r>
      <w:r>
        <w:rPr>
          <w:rFonts w:eastAsia="方正仿宋_GBK" w:hint="eastAsia"/>
          <w:snapToGrid w:val="0"/>
          <w:kern w:val="0"/>
          <w:sz w:val="32"/>
          <w:szCs w:val="32"/>
        </w:rPr>
        <w:t>楼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法定代表人：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梁沛农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 xml:space="preserve">          </w:t>
      </w:r>
      <w:r>
        <w:rPr>
          <w:rFonts w:eastAsia="方正仿宋_GBK"/>
          <w:snapToGrid w:val="0"/>
          <w:kern w:val="0"/>
          <w:sz w:val="32"/>
          <w:szCs w:val="32"/>
        </w:rPr>
        <w:t>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18277191652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现查明，你单位连续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年度不按规定参加年度检查。以上事实有</w:t>
      </w:r>
      <w:r>
        <w:rPr>
          <w:rFonts w:eastAsia="方正仿宋_GBK" w:hint="eastAsia"/>
          <w:snapToGrid w:val="0"/>
          <w:kern w:val="0"/>
          <w:sz w:val="32"/>
          <w:szCs w:val="32"/>
        </w:rPr>
        <w:t>《自治区民政厅关于组织开展市、县（市、区）慈善组织（基金会）</w:t>
      </w:r>
      <w:r>
        <w:rPr>
          <w:rFonts w:eastAsia="方正仿宋_GBK" w:hint="eastAsia"/>
          <w:snapToGrid w:val="0"/>
          <w:kern w:val="0"/>
          <w:sz w:val="32"/>
          <w:szCs w:val="32"/>
        </w:rPr>
        <w:t>2019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年度年报年检工作的通知》、《自治区民政厅关于开展慈善组织（基金会）</w:t>
      </w:r>
      <w:r>
        <w:rPr>
          <w:rFonts w:eastAsia="方正仿宋_GBK" w:hint="eastAsia"/>
          <w:snapToGrid w:val="0"/>
          <w:kern w:val="0"/>
          <w:sz w:val="32"/>
          <w:szCs w:val="32"/>
        </w:rPr>
        <w:t>2020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年度年报年检工作的通知》</w:t>
      </w:r>
      <w:r>
        <w:rPr>
          <w:rFonts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 w:hint="eastAsia"/>
          <w:snapToGrid w:val="0"/>
          <w:kern w:val="0"/>
          <w:sz w:val="32"/>
          <w:szCs w:val="32"/>
        </w:rPr>
        <w:t>基金会法人登记证书（电子证照）、</w:t>
      </w:r>
      <w:r>
        <w:rPr>
          <w:rFonts w:eastAsia="方正仿宋_GBK"/>
          <w:snapToGrid w:val="0"/>
          <w:kern w:val="0"/>
          <w:sz w:val="32"/>
          <w:szCs w:val="32"/>
        </w:rPr>
        <w:t>广西社会组织统一信用代码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库系统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社会组织行政许可信息截图、广西社会组织年检系统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年度和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年度年检报告网上提交情况截图等证据证实。根据</w:t>
      </w:r>
      <w:r>
        <w:rPr>
          <w:rFonts w:eastAsia="方正仿宋_GBK" w:hint="eastAsia"/>
          <w:snapToGrid w:val="0"/>
          <w:kern w:val="0"/>
          <w:sz w:val="32"/>
          <w:szCs w:val="32"/>
        </w:rPr>
        <w:t>《基金会管理条例》第四十二条第（五）项和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《基金会年度检查办法》第十一条之</w:t>
      </w:r>
      <w:r>
        <w:rPr>
          <w:rFonts w:eastAsia="方正仿宋_GBK"/>
          <w:snapToGrid w:val="0"/>
          <w:kern w:val="0"/>
          <w:sz w:val="32"/>
          <w:szCs w:val="32"/>
        </w:rPr>
        <w:t>规定，本机关决定对你单位</w:t>
      </w:r>
      <w:proofErr w:type="gramStart"/>
      <w:r>
        <w:rPr>
          <w:rFonts w:eastAsia="方正仿宋_GBK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撤销登记的行政处罚。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如不服本决定，可以在收到本决定书之日起六十日内向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广西壮族</w:t>
      </w:r>
      <w:r>
        <w:rPr>
          <w:rFonts w:eastAsia="方正仿宋_GBK"/>
          <w:snapToGrid w:val="0"/>
          <w:kern w:val="0"/>
          <w:sz w:val="32"/>
          <w:szCs w:val="32"/>
        </w:rPr>
        <w:t>自治区人民政府申请行政复议，或者六个月内直接向</w:t>
      </w:r>
      <w:r>
        <w:rPr>
          <w:rFonts w:eastAsia="方正仿宋_GBK" w:hint="eastAsia"/>
          <w:snapToGrid w:val="0"/>
          <w:kern w:val="0"/>
          <w:sz w:val="32"/>
          <w:szCs w:val="32"/>
        </w:rPr>
        <w:t>南宁铁路运输</w:t>
      </w:r>
      <w:r>
        <w:rPr>
          <w:rFonts w:eastAsia="方正仿宋_GBK"/>
          <w:snapToGrid w:val="0"/>
          <w:kern w:val="0"/>
          <w:sz w:val="32"/>
          <w:szCs w:val="32"/>
        </w:rPr>
        <w:t>法院提起行政诉讼。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450" w:right="945" w:firstLineChars="200" w:firstLine="640"/>
        <w:jc w:val="righ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广西壮族自治区民政厅</w:t>
      </w:r>
    </w:p>
    <w:p w:rsidR="009D28BD" w:rsidRDefault="009D28BD" w:rsidP="009D28BD">
      <w:pPr>
        <w:overflowPunct w:val="0"/>
        <w:adjustRightInd w:val="0"/>
        <w:snapToGrid w:val="0"/>
        <w:spacing w:line="580" w:lineRule="exact"/>
        <w:ind w:rightChars="600" w:right="126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9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9D28BD" w:rsidRDefault="009D28BD" w:rsidP="009D28BD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:rsidR="002539C7" w:rsidRPr="009D28BD" w:rsidRDefault="002539C7">
      <w:bookmarkStart w:id="0" w:name="_GoBack"/>
      <w:bookmarkEnd w:id="0"/>
    </w:p>
    <w:sectPr w:rsidR="002539C7" w:rsidRPr="009D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B1" w:rsidRDefault="001021B1" w:rsidP="009D28BD">
      <w:r>
        <w:separator/>
      </w:r>
    </w:p>
  </w:endnote>
  <w:endnote w:type="continuationSeparator" w:id="0">
    <w:p w:rsidR="001021B1" w:rsidRDefault="001021B1" w:rsidP="009D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B1" w:rsidRDefault="001021B1" w:rsidP="009D28BD">
      <w:r>
        <w:separator/>
      </w:r>
    </w:p>
  </w:footnote>
  <w:footnote w:type="continuationSeparator" w:id="0">
    <w:p w:rsidR="001021B1" w:rsidRDefault="001021B1" w:rsidP="009D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8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021B1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5983"/>
    <w:rsid w:val="00305AB1"/>
    <w:rsid w:val="00310B4F"/>
    <w:rsid w:val="00325380"/>
    <w:rsid w:val="003441A8"/>
    <w:rsid w:val="00345F7C"/>
    <w:rsid w:val="00347A90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392F"/>
    <w:rsid w:val="009C01E1"/>
    <w:rsid w:val="009C1A8B"/>
    <w:rsid w:val="009D28BD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3BE8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2022-12-28T07:40:00Z</dcterms:created>
  <dcterms:modified xsi:type="dcterms:W3CDTF">2022-12-28T07:40:00Z</dcterms:modified>
</cp:coreProperties>
</file>