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83" w:rsidRPr="00BE0E6D" w:rsidRDefault="00C45083" w:rsidP="00C45083">
      <w:pPr>
        <w:autoSpaceDE w:val="0"/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BE0E6D"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018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广西年鉴学会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28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51450000099707363N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南宁市西乡塘区罗文大道</w:t>
      </w:r>
      <w:r>
        <w:rPr>
          <w:rFonts w:eastAsia="方正仿宋_GBK" w:hint="eastAsia"/>
          <w:snapToGrid w:val="0"/>
          <w:kern w:val="0"/>
          <w:sz w:val="32"/>
          <w:szCs w:val="32"/>
        </w:rPr>
        <w:t>28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许家康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13807718090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28"/>
          <w:szCs w:val="32"/>
        </w:rPr>
        <w:sectPr w:rsidR="00C45083"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lastRenderedPageBreak/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019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广西远程教育学会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15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51450000310548581Q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南宁市云景路</w:t>
      </w:r>
      <w:r>
        <w:rPr>
          <w:rFonts w:eastAsia="方正仿宋_GBK" w:hint="eastAsia"/>
          <w:snapToGrid w:val="0"/>
          <w:kern w:val="0"/>
          <w:sz w:val="32"/>
          <w:szCs w:val="32"/>
        </w:rPr>
        <w:t>55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蒋海河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13907717700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100" w:firstLine="320"/>
        <w:jc w:val="left"/>
        <w:rPr>
          <w:rFonts w:eastAsia="方正仿宋_GBK"/>
          <w:snapToGrid w:val="0"/>
          <w:kern w:val="0"/>
          <w:sz w:val="32"/>
          <w:szCs w:val="32"/>
        </w:rPr>
        <w:sectPr w:rsidR="00C45083"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020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广西社会科学交流研究会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2006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514500005071629301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28"/>
          <w:szCs w:val="28"/>
        </w:rPr>
        <w:t>南宁市青秀区中文路</w:t>
      </w:r>
      <w:r>
        <w:rPr>
          <w:rFonts w:eastAsia="方正仿宋_GBK" w:hint="eastAsia"/>
          <w:snapToGrid w:val="0"/>
          <w:kern w:val="0"/>
          <w:sz w:val="28"/>
          <w:szCs w:val="28"/>
        </w:rPr>
        <w:t>10</w:t>
      </w:r>
      <w:r>
        <w:rPr>
          <w:rFonts w:eastAsia="方正仿宋_GBK" w:hint="eastAsia"/>
          <w:snapToGrid w:val="0"/>
          <w:kern w:val="0"/>
          <w:sz w:val="28"/>
          <w:szCs w:val="28"/>
        </w:rPr>
        <w:t>号领世郡</w:t>
      </w:r>
      <w:r>
        <w:rPr>
          <w:rFonts w:eastAsia="方正仿宋_GBK" w:hint="eastAsia"/>
          <w:snapToGrid w:val="0"/>
          <w:kern w:val="0"/>
          <w:sz w:val="28"/>
          <w:szCs w:val="28"/>
        </w:rPr>
        <w:t>1</w:t>
      </w:r>
      <w:r>
        <w:rPr>
          <w:rFonts w:eastAsia="方正仿宋_GBK" w:hint="eastAsia"/>
          <w:snapToGrid w:val="0"/>
          <w:kern w:val="0"/>
          <w:sz w:val="28"/>
          <w:szCs w:val="28"/>
        </w:rPr>
        <w:t>号</w:t>
      </w:r>
      <w:r>
        <w:rPr>
          <w:rFonts w:eastAsia="方正仿宋_GBK" w:hint="eastAsia"/>
          <w:snapToGrid w:val="0"/>
          <w:kern w:val="0"/>
          <w:sz w:val="28"/>
          <w:szCs w:val="28"/>
        </w:rPr>
        <w:t>1</w:t>
      </w:r>
      <w:r>
        <w:rPr>
          <w:rFonts w:eastAsia="方正仿宋_GBK" w:hint="eastAsia"/>
          <w:snapToGrid w:val="0"/>
          <w:kern w:val="0"/>
          <w:sz w:val="28"/>
          <w:szCs w:val="28"/>
        </w:rPr>
        <w:t>号楼</w:t>
      </w:r>
      <w:r>
        <w:rPr>
          <w:rFonts w:eastAsia="方正仿宋_GBK" w:hint="eastAsia"/>
          <w:snapToGrid w:val="0"/>
          <w:kern w:val="0"/>
          <w:sz w:val="28"/>
          <w:szCs w:val="28"/>
        </w:rPr>
        <w:t>3</w:t>
      </w:r>
      <w:r>
        <w:rPr>
          <w:rFonts w:eastAsia="方正仿宋_GBK" w:hint="eastAsia"/>
          <w:snapToGrid w:val="0"/>
          <w:kern w:val="0"/>
          <w:sz w:val="28"/>
          <w:szCs w:val="28"/>
        </w:rPr>
        <w:t>单元</w:t>
      </w:r>
      <w:r>
        <w:rPr>
          <w:rFonts w:eastAsia="方正仿宋_GBK" w:hint="eastAsia"/>
          <w:snapToGrid w:val="0"/>
          <w:kern w:val="0"/>
          <w:sz w:val="28"/>
          <w:szCs w:val="28"/>
        </w:rPr>
        <w:t>1501</w:t>
      </w:r>
      <w:r>
        <w:rPr>
          <w:rFonts w:eastAsia="方正仿宋_GBK" w:hint="eastAsia"/>
          <w:snapToGrid w:val="0"/>
          <w:kern w:val="0"/>
          <w:sz w:val="28"/>
          <w:szCs w:val="28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黄宁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15307808619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100" w:firstLine="320"/>
        <w:jc w:val="left"/>
        <w:rPr>
          <w:rFonts w:eastAsia="方正仿宋_GBK"/>
          <w:snapToGrid w:val="0"/>
          <w:kern w:val="0"/>
          <w:sz w:val="32"/>
          <w:szCs w:val="32"/>
        </w:rPr>
        <w:sectPr w:rsidR="00C45083">
          <w:headerReference w:type="default" r:id="rId7"/>
          <w:footerReference w:type="default" r:id="rId8"/>
          <w:headerReference w:type="first" r:id="rId9"/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021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广西老旧小区电梯改造协会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2018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25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51450000MJN100846R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南宁市青秀区英华路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号东盟世纪村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号楼</w:t>
      </w:r>
      <w:r>
        <w:rPr>
          <w:rFonts w:eastAsia="方正仿宋_GBK" w:hint="eastAsia"/>
          <w:snapToGrid w:val="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kern w:val="0"/>
          <w:sz w:val="32"/>
          <w:szCs w:val="32"/>
        </w:rPr>
        <w:t>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曾文亮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15807812022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100" w:firstLine="320"/>
        <w:jc w:val="left"/>
        <w:rPr>
          <w:rFonts w:eastAsia="方正仿宋_GBK"/>
          <w:snapToGrid w:val="0"/>
          <w:kern w:val="0"/>
          <w:sz w:val="32"/>
          <w:szCs w:val="32"/>
        </w:rPr>
        <w:sectPr w:rsidR="00C45083">
          <w:headerReference w:type="default" r:id="rId10"/>
          <w:footerReference w:type="default" r:id="rId11"/>
          <w:headerReference w:type="first" r:id="rId12"/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022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广西桂港经贸合作促进会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2015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51450000329580055L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南宁市民主路</w:t>
      </w:r>
      <w:r>
        <w:rPr>
          <w:rFonts w:eastAsia="方正仿宋_GBK" w:hint="eastAsia"/>
          <w:snapToGrid w:val="0"/>
          <w:kern w:val="0"/>
          <w:sz w:val="32"/>
          <w:szCs w:val="32"/>
        </w:rPr>
        <w:t>21</w:t>
      </w:r>
      <w:r>
        <w:rPr>
          <w:rFonts w:eastAsia="方正仿宋_GBK" w:hint="eastAsia"/>
          <w:snapToGrid w:val="0"/>
          <w:kern w:val="0"/>
          <w:sz w:val="32"/>
          <w:szCs w:val="32"/>
        </w:rPr>
        <w:t>号广西日报社四楼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李启瑞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13907719731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100" w:firstLine="320"/>
        <w:jc w:val="left"/>
        <w:rPr>
          <w:rFonts w:eastAsia="方正仿宋_GBK"/>
          <w:snapToGrid w:val="0"/>
          <w:kern w:val="0"/>
          <w:sz w:val="32"/>
          <w:szCs w:val="32"/>
        </w:rPr>
        <w:sectPr w:rsidR="00C45083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023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广西物联东盟物流规划研究院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2016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52450000MJN1349903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南宁市东葛路</w:t>
      </w:r>
      <w:r>
        <w:rPr>
          <w:rFonts w:eastAsia="方正仿宋_GBK" w:hint="eastAsia"/>
          <w:snapToGrid w:val="0"/>
          <w:kern w:val="0"/>
          <w:sz w:val="32"/>
          <w:szCs w:val="32"/>
        </w:rPr>
        <w:t>78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李捷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0771-2283098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</w:t>
      </w:r>
      <w:r>
        <w:rPr>
          <w:rFonts w:eastAsia="方正仿宋_GBK" w:hint="eastAsia"/>
          <w:snapToGrid w:val="0"/>
          <w:kern w:val="0"/>
          <w:sz w:val="32"/>
          <w:szCs w:val="32"/>
        </w:rPr>
        <w:t>《</w:t>
      </w:r>
      <w:r w:rsidR="00F527A6" w:rsidRPr="00F527A6">
        <w:rPr>
          <w:rFonts w:eastAsia="方正仿宋_GBK" w:hint="eastAsia"/>
          <w:snapToGrid w:val="0"/>
          <w:kern w:val="0"/>
          <w:sz w:val="32"/>
          <w:szCs w:val="32"/>
        </w:rPr>
        <w:t>民办非企业单位登记管理暂行条例</w:t>
      </w:r>
      <w:r>
        <w:rPr>
          <w:rFonts w:eastAsia="方正仿宋_GBK" w:hint="eastAsia"/>
          <w:snapToGrid w:val="0"/>
          <w:kern w:val="0"/>
          <w:sz w:val="32"/>
          <w:szCs w:val="32"/>
        </w:rPr>
        <w:t>》第二十五条第（三）项和《民办非企业单位年度检查办法》第十条之规定</w:t>
      </w:r>
      <w:r>
        <w:rPr>
          <w:rFonts w:eastAsia="方正仿宋_GBK"/>
          <w:snapToGrid w:val="0"/>
          <w:kern w:val="0"/>
          <w:sz w:val="32"/>
          <w:szCs w:val="32"/>
        </w:rPr>
        <w:t>，本机关决定对你单位作出撤销登记的行政处罚。</w:t>
      </w:r>
      <w:bookmarkStart w:id="0" w:name="_GoBack"/>
      <w:bookmarkEnd w:id="0"/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C45083">
          <w:headerReference w:type="default" r:id="rId16"/>
          <w:footerReference w:type="default" r:id="rId17"/>
          <w:headerReference w:type="first" r:id="rId18"/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024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广西汽车配件协会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2011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30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51450000588642564X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南宁市兴宁区望州路</w:t>
      </w:r>
      <w:r>
        <w:rPr>
          <w:rFonts w:eastAsia="方正仿宋_GBK" w:hint="eastAsia"/>
          <w:snapToGrid w:val="0"/>
          <w:kern w:val="0"/>
          <w:sz w:val="32"/>
          <w:szCs w:val="32"/>
        </w:rPr>
        <w:t>277-41-48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赵梓成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13977738999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C45083">
          <w:pgSz w:w="11906" w:h="16838"/>
          <w:pgMar w:top="1985" w:right="1418" w:bottom="1985" w:left="1418" w:header="851" w:footer="992" w:gutter="0"/>
          <w:cols w:space="720"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025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广西反射疗法保健协会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1993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11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21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51450000507159977M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南宁市东葛路</w:t>
      </w:r>
      <w:r>
        <w:rPr>
          <w:rFonts w:eastAsia="方正仿宋_GBK" w:hint="eastAsia"/>
          <w:snapToGrid w:val="0"/>
          <w:kern w:val="0"/>
          <w:sz w:val="32"/>
          <w:szCs w:val="32"/>
        </w:rPr>
        <w:t>92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杭婉静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0771-569938</w:t>
      </w:r>
      <w:r>
        <w:rPr>
          <w:rFonts w:eastAsia="方正仿宋_GBK" w:hint="eastAsia"/>
          <w:snapToGrid w:val="0"/>
          <w:kern w:val="0"/>
          <w:sz w:val="32"/>
          <w:szCs w:val="32"/>
        </w:rPr>
        <w:t>转</w:t>
      </w:r>
      <w:r>
        <w:rPr>
          <w:rFonts w:eastAsia="方正仿宋_GBK" w:hint="eastAsia"/>
          <w:snapToGrid w:val="0"/>
          <w:kern w:val="0"/>
          <w:sz w:val="32"/>
          <w:szCs w:val="32"/>
        </w:rPr>
        <w:t>3363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C45083">
          <w:pgSz w:w="11906" w:h="16838"/>
          <w:pgMar w:top="1985" w:right="1418" w:bottom="1985" w:left="1418" w:header="851" w:footer="992" w:gutter="0"/>
          <w:cols w:space="720"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26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/>
          <w:snapToGrid w:val="0"/>
          <w:kern w:val="0"/>
          <w:sz w:val="32"/>
          <w:szCs w:val="32"/>
        </w:rPr>
        <w:t>051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广西东盟经济研究会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01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514500000617365210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南宁市民乐路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tabs>
          <w:tab w:val="left" w:pos="4536"/>
        </w:tabs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张光丽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18978899936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90" w:right="1029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28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100" w:firstLine="280"/>
        <w:jc w:val="left"/>
        <w:rPr>
          <w:rFonts w:eastAsia="方正仿宋_GBK"/>
          <w:snapToGrid w:val="0"/>
          <w:kern w:val="0"/>
          <w:sz w:val="28"/>
          <w:szCs w:val="32"/>
        </w:rPr>
        <w:sectPr w:rsidR="00C45083">
          <w:headerReference w:type="default" r:id="rId19"/>
          <w:footerReference w:type="default" r:id="rId20"/>
          <w:headerReference w:type="first" r:id="rId21"/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052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广西散曲学会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2010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11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02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51450000564013931U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南宁市青秀区金浦路</w:t>
      </w:r>
      <w:r>
        <w:rPr>
          <w:rFonts w:eastAsia="方正仿宋_GBK" w:hint="eastAsia"/>
          <w:snapToGrid w:val="0"/>
          <w:kern w:val="0"/>
          <w:sz w:val="32"/>
          <w:szCs w:val="32"/>
        </w:rPr>
        <w:t>22</w:t>
      </w:r>
      <w:r>
        <w:rPr>
          <w:rFonts w:eastAsia="方正仿宋_GBK" w:hint="eastAsia"/>
          <w:snapToGrid w:val="0"/>
          <w:kern w:val="0"/>
          <w:sz w:val="32"/>
          <w:szCs w:val="32"/>
        </w:rPr>
        <w:t>号名都大厦</w:t>
      </w:r>
      <w:r>
        <w:rPr>
          <w:rFonts w:eastAsia="方正仿宋_GBK" w:hint="eastAsia"/>
          <w:snapToGrid w:val="0"/>
          <w:kern w:val="0"/>
          <w:sz w:val="32"/>
          <w:szCs w:val="32"/>
        </w:rPr>
        <w:t>13</w:t>
      </w:r>
      <w:r>
        <w:rPr>
          <w:rFonts w:eastAsia="方正仿宋_GBK" w:hint="eastAsia"/>
          <w:snapToGrid w:val="0"/>
          <w:kern w:val="0"/>
          <w:sz w:val="32"/>
          <w:szCs w:val="32"/>
        </w:rPr>
        <w:t>楼</w:t>
      </w:r>
    </w:p>
    <w:p w:rsidR="00C45083" w:rsidRDefault="00C45083" w:rsidP="00C45083">
      <w:pPr>
        <w:tabs>
          <w:tab w:val="left" w:pos="3686"/>
          <w:tab w:val="left" w:pos="4536"/>
        </w:tabs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余昌文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15107813513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90" w:right="1029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28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100" w:firstLine="320"/>
        <w:jc w:val="left"/>
        <w:rPr>
          <w:rFonts w:eastAsia="方正仿宋_GBK"/>
          <w:snapToGrid w:val="0"/>
          <w:kern w:val="0"/>
          <w:sz w:val="32"/>
          <w:szCs w:val="32"/>
        </w:rPr>
        <w:sectPr w:rsidR="00C45083">
          <w:pgSz w:w="11906" w:h="16838"/>
          <w:pgMar w:top="1985" w:right="1418" w:bottom="1985" w:left="1418" w:header="851" w:footer="1587" w:gutter="0"/>
          <w:pgNumType w:start="1"/>
          <w:cols w:space="720"/>
          <w:titlePg/>
          <w:docGrid w:type="lines" w:linePitch="312"/>
        </w:sect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053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C45083" w:rsidRDefault="00C45083" w:rsidP="00C45083">
      <w:pPr>
        <w:overflowPunct w:val="0"/>
        <w:adjustRightInd w:val="0"/>
        <w:snapToGrid w:val="0"/>
        <w:spacing w:line="90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广西艺术摄影学会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1992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51450000507159205G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南宁市民主路</w:t>
      </w:r>
      <w:r>
        <w:rPr>
          <w:rFonts w:eastAsia="方正仿宋_GBK" w:hint="eastAsia"/>
          <w:snapToGrid w:val="0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kern w:val="0"/>
          <w:sz w:val="32"/>
          <w:szCs w:val="32"/>
        </w:rPr>
        <w:t>号广西群众艺术馆</w:t>
      </w:r>
    </w:p>
    <w:p w:rsidR="00C45083" w:rsidRDefault="00C45083" w:rsidP="00C45083">
      <w:pPr>
        <w:tabs>
          <w:tab w:val="left" w:pos="3686"/>
          <w:tab w:val="left" w:pos="4678"/>
        </w:tabs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唐建祥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13317613668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  <w:r>
        <w:rPr>
          <w:rFonts w:eastAsia="方正仿宋_GBK" w:hint="eastAsia"/>
          <w:snapToGrid w:val="0"/>
          <w:kern w:val="0"/>
          <w:sz w:val="32"/>
          <w:szCs w:val="32"/>
        </w:rPr>
        <w:t>行政复议或行政诉讼期间，行政处罚决定不停止执行。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490" w:right="1029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C45083" w:rsidRDefault="00C45083" w:rsidP="00C45083">
      <w:pPr>
        <w:overflowPunct w:val="0"/>
        <w:adjustRightInd w:val="0"/>
        <w:snapToGrid w:val="0"/>
        <w:spacing w:line="580" w:lineRule="exact"/>
        <w:ind w:rightChars="600" w:right="1260"/>
        <w:jc w:val="right"/>
        <w:rPr>
          <w:rFonts w:eastAsia="方正仿宋_GBK"/>
          <w:snapToGrid w:val="0"/>
          <w:kern w:val="0"/>
          <w:sz w:val="32"/>
          <w:szCs w:val="32"/>
        </w:rPr>
        <w:sectPr w:rsidR="00C45083">
          <w:pgSz w:w="11906" w:h="16838"/>
          <w:pgMar w:top="1985" w:right="1418" w:bottom="1985" w:left="1418" w:header="851" w:footer="992" w:gutter="0"/>
          <w:cols w:space="720"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28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2539C7" w:rsidRPr="00C45083" w:rsidRDefault="002539C7"/>
    <w:sectPr w:rsidR="002539C7" w:rsidRPr="00C4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89" w:rsidRDefault="00185589" w:rsidP="00C45083">
      <w:r>
        <w:separator/>
      </w:r>
    </w:p>
  </w:endnote>
  <w:endnote w:type="continuationSeparator" w:id="0">
    <w:p w:rsidR="00185589" w:rsidRDefault="00185589" w:rsidP="00C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4"/>
      <w:framePr w:h="553" w:hRule="exact" w:wrap="around" w:vAnchor="text" w:hAnchor="margin" w:xAlign="outside" w:y="1"/>
      <w:ind w:leftChars="100" w:left="210" w:rightChars="100" w:right="21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F527A6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45083" w:rsidRDefault="00C450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4"/>
      <w:framePr w:h="553" w:hRule="exact" w:wrap="around" w:vAnchor="text" w:hAnchor="margin" w:xAlign="outside" w:y="1"/>
      <w:ind w:leftChars="100" w:left="210" w:rightChars="100" w:right="21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F527A6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45083" w:rsidRDefault="00C450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4"/>
      <w:framePr w:h="553" w:hRule="exact" w:wrap="around" w:vAnchor="text" w:hAnchor="margin" w:xAlign="outside" w:y="1"/>
      <w:ind w:leftChars="100" w:left="210" w:rightChars="100" w:right="21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F527A6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45083" w:rsidRDefault="00C4508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4"/>
      <w:framePr w:h="553" w:hRule="exact" w:wrap="around" w:vAnchor="text" w:hAnchor="margin" w:xAlign="outside" w:y="1"/>
      <w:ind w:leftChars="100" w:left="210" w:rightChars="100" w:right="21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F527A6">
      <w:rPr>
        <w:rStyle w:val="a5"/>
        <w:rFonts w:ascii="宋体" w:hAnsi="宋体"/>
        <w:noProof/>
        <w:sz w:val="28"/>
        <w:szCs w:val="28"/>
      </w:rPr>
      <w:t>4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45083" w:rsidRDefault="00C4508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4"/>
      <w:framePr w:h="553" w:hRule="exact" w:wrap="around" w:vAnchor="text" w:hAnchor="margin" w:xAlign="outside" w:y="1"/>
      <w:ind w:leftChars="100" w:left="210" w:rightChars="100" w:right="21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F527A6">
      <w:rPr>
        <w:rStyle w:val="a5"/>
        <w:rFonts w:ascii="宋体" w:hAnsi="宋体"/>
        <w:noProof/>
        <w:sz w:val="28"/>
        <w:szCs w:val="28"/>
      </w:rPr>
      <w:t>5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45083" w:rsidRDefault="00C450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89" w:rsidRDefault="00185589" w:rsidP="00C45083">
      <w:r>
        <w:separator/>
      </w:r>
    </w:p>
  </w:footnote>
  <w:footnote w:type="continuationSeparator" w:id="0">
    <w:p w:rsidR="00185589" w:rsidRDefault="00185589" w:rsidP="00C4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83" w:rsidRDefault="00C450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3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1E04"/>
    <w:rsid w:val="00174BA1"/>
    <w:rsid w:val="00185589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50BA0"/>
    <w:rsid w:val="002523CB"/>
    <w:rsid w:val="002539C7"/>
    <w:rsid w:val="00270521"/>
    <w:rsid w:val="00275013"/>
    <w:rsid w:val="0029112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0C55"/>
    <w:rsid w:val="002F1165"/>
    <w:rsid w:val="00305983"/>
    <w:rsid w:val="00305AB1"/>
    <w:rsid w:val="00310B4F"/>
    <w:rsid w:val="00325380"/>
    <w:rsid w:val="003441A8"/>
    <w:rsid w:val="00345F7C"/>
    <w:rsid w:val="00347A90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CC8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7811"/>
    <w:rsid w:val="00592023"/>
    <w:rsid w:val="005950C7"/>
    <w:rsid w:val="005A4EE3"/>
    <w:rsid w:val="005B6DD2"/>
    <w:rsid w:val="005C4771"/>
    <w:rsid w:val="005D58D9"/>
    <w:rsid w:val="005D6033"/>
    <w:rsid w:val="005E6F5C"/>
    <w:rsid w:val="005F2385"/>
    <w:rsid w:val="005F43B1"/>
    <w:rsid w:val="00616610"/>
    <w:rsid w:val="00624536"/>
    <w:rsid w:val="00653143"/>
    <w:rsid w:val="00653BDC"/>
    <w:rsid w:val="00655A33"/>
    <w:rsid w:val="0065783D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B5B"/>
    <w:rsid w:val="006E25CD"/>
    <w:rsid w:val="006E72B7"/>
    <w:rsid w:val="006E7C77"/>
    <w:rsid w:val="006F0A65"/>
    <w:rsid w:val="007072B9"/>
    <w:rsid w:val="007227E3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A79FE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27DB0"/>
    <w:rsid w:val="009413E4"/>
    <w:rsid w:val="00944898"/>
    <w:rsid w:val="00946DD8"/>
    <w:rsid w:val="00952BE4"/>
    <w:rsid w:val="009607A3"/>
    <w:rsid w:val="009675E2"/>
    <w:rsid w:val="0097091A"/>
    <w:rsid w:val="009736F1"/>
    <w:rsid w:val="00980678"/>
    <w:rsid w:val="0098141D"/>
    <w:rsid w:val="009821B4"/>
    <w:rsid w:val="0099053B"/>
    <w:rsid w:val="009958F8"/>
    <w:rsid w:val="009A05DC"/>
    <w:rsid w:val="009A31FD"/>
    <w:rsid w:val="009B392F"/>
    <w:rsid w:val="009C01E1"/>
    <w:rsid w:val="009C1A8B"/>
    <w:rsid w:val="009D5BB2"/>
    <w:rsid w:val="009E4379"/>
    <w:rsid w:val="009E4985"/>
    <w:rsid w:val="009F1ADB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4B8E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45083"/>
    <w:rsid w:val="00C5222F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2924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47CC5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C3514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527A6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8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4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0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45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083"/>
    <w:rPr>
      <w:sz w:val="18"/>
      <w:szCs w:val="18"/>
    </w:rPr>
  </w:style>
  <w:style w:type="character" w:styleId="a5">
    <w:name w:val="page number"/>
    <w:qFormat/>
    <w:rsid w:val="00C45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8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4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0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45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083"/>
    <w:rPr>
      <w:sz w:val="18"/>
      <w:szCs w:val="18"/>
    </w:rPr>
  </w:style>
  <w:style w:type="character" w:styleId="a5">
    <w:name w:val="page number"/>
    <w:qFormat/>
    <w:rsid w:val="00C4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843</Words>
  <Characters>4808</Characters>
  <Application>Microsoft Office Word</Application>
  <DocSecurity>4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2</cp:revision>
  <dcterms:created xsi:type="dcterms:W3CDTF">2025-04-29T08:22:00Z</dcterms:created>
  <dcterms:modified xsi:type="dcterms:W3CDTF">2025-04-29T08:22:00Z</dcterms:modified>
</cp:coreProperties>
</file>