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28" w:rsidRDefault="00146928" w:rsidP="00146928">
      <w:pPr>
        <w:overflowPunct w:val="0"/>
        <w:spacing w:line="500" w:lineRule="exact"/>
        <w:ind w:leftChars="30" w:left="63" w:rightChars="30" w:right="63"/>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146928" w:rsidRDefault="00146928" w:rsidP="00146928">
      <w:pPr>
        <w:overflowPunct w:val="0"/>
        <w:spacing w:line="500" w:lineRule="exact"/>
        <w:ind w:leftChars="30" w:left="63" w:rightChars="30" w:right="63"/>
        <w:rPr>
          <w:rFonts w:ascii="方正仿宋_GBK" w:eastAsia="方正仿宋_GBK" w:hAnsi="方正仿宋_GBK" w:cs="方正仿宋_GBK"/>
          <w:sz w:val="32"/>
          <w:szCs w:val="32"/>
        </w:rPr>
      </w:pPr>
    </w:p>
    <w:p w:rsidR="00146928" w:rsidRDefault="00146928" w:rsidP="00146928">
      <w:pPr>
        <w:pStyle w:val="a5"/>
        <w:widowControl w:val="0"/>
        <w:kinsoku/>
        <w:overflowPunct w:val="0"/>
        <w:autoSpaceDE/>
        <w:autoSpaceDN/>
        <w:spacing w:line="500" w:lineRule="exact"/>
        <w:ind w:leftChars="30" w:left="63" w:rightChars="30" w:right="63"/>
        <w:jc w:val="center"/>
        <w:rPr>
          <w:rFonts w:ascii="方正小标宋_GBK" w:eastAsia="方正小标宋_GBK" w:hAnsi="方正小标宋_GBK" w:cs="方正小标宋_GBK"/>
          <w:color w:val="auto"/>
          <w:sz w:val="44"/>
          <w:szCs w:val="44"/>
          <w:lang w:eastAsia="zh-CN"/>
        </w:rPr>
      </w:pPr>
      <w:r>
        <w:rPr>
          <w:rFonts w:ascii="方正小标宋_GBK" w:eastAsia="方正小标宋_GBK" w:hAnsi="方正小标宋_GBK" w:cs="方正小标宋_GBK" w:hint="eastAsia"/>
          <w:color w:val="auto"/>
          <w:sz w:val="44"/>
          <w:szCs w:val="44"/>
          <w:lang w:eastAsia="zh-CN"/>
        </w:rPr>
        <w:t>广西流动儿童在居住地享有关爱服务基础清单</w:t>
      </w:r>
    </w:p>
    <w:p w:rsidR="00146928" w:rsidRDefault="00146928" w:rsidP="00146928">
      <w:pPr>
        <w:overflowPunct w:val="0"/>
        <w:spacing w:line="500" w:lineRule="exact"/>
        <w:ind w:leftChars="30" w:left="63" w:rightChars="30" w:right="63"/>
        <w:rPr>
          <w:rFonts w:ascii="方正仿宋_GBK" w:eastAsia="方正仿宋_GBK" w:hAnsi="方正仿宋_GBK" w:cs="方正仿宋_GBK"/>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9"/>
        <w:gridCol w:w="588"/>
        <w:gridCol w:w="1932"/>
        <w:gridCol w:w="1540"/>
        <w:gridCol w:w="6195"/>
        <w:gridCol w:w="2310"/>
      </w:tblGrid>
      <w:tr w:rsidR="00146928" w:rsidTr="0024672F">
        <w:trPr>
          <w:cantSplit/>
          <w:trHeight w:val="454"/>
          <w:tblHeader/>
          <w:jc w:val="center"/>
        </w:trPr>
        <w:tc>
          <w:tcPr>
            <w:tcW w:w="1177" w:type="dxa"/>
            <w:gridSpan w:val="2"/>
            <w:tcBorders>
              <w:bottom w:val="single" w:sz="4" w:space="0" w:color="auto"/>
            </w:tcBorders>
            <w:vAlign w:val="center"/>
          </w:tcPr>
          <w:p w:rsidR="00146928" w:rsidRDefault="00146928" w:rsidP="0024672F">
            <w:pPr>
              <w:overflowPunct w:val="0"/>
              <w:spacing w:line="320" w:lineRule="exact"/>
              <w:ind w:leftChars="30" w:left="63" w:rightChars="30" w:right="63"/>
              <w:jc w:val="center"/>
              <w:rPr>
                <w:rFonts w:ascii="方正黑体_GBK" w:eastAsia="方正黑体_GBK" w:hAnsi="Times New Roman" w:hint="eastAsia"/>
                <w:snapToGrid w:val="0"/>
                <w:szCs w:val="21"/>
              </w:rPr>
            </w:pPr>
          </w:p>
        </w:tc>
        <w:tc>
          <w:tcPr>
            <w:tcW w:w="1932"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方正黑体_GBK" w:eastAsia="方正黑体_GBK" w:hAnsi="Times New Roman" w:cs="Times New Roman" w:hint="eastAsia"/>
                <w:color w:val="auto"/>
                <w:kern w:val="2"/>
                <w:sz w:val="21"/>
                <w:szCs w:val="21"/>
              </w:rPr>
            </w:pPr>
            <w:r>
              <w:rPr>
                <w:rFonts w:ascii="方正黑体_GBK" w:eastAsia="方正黑体_GBK" w:hAnsi="Times New Roman" w:cs="Times New Roman" w:hint="eastAsia"/>
                <w:color w:val="auto"/>
                <w:kern w:val="2"/>
                <w:sz w:val="21"/>
                <w:szCs w:val="21"/>
              </w:rPr>
              <w:t>服务对象</w:t>
            </w:r>
          </w:p>
        </w:tc>
        <w:tc>
          <w:tcPr>
            <w:tcW w:w="1540"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方正黑体_GBK" w:eastAsia="方正黑体_GBK" w:hAnsi="Times New Roman" w:cs="Times New Roman" w:hint="eastAsia"/>
                <w:color w:val="auto"/>
                <w:kern w:val="2"/>
                <w:sz w:val="21"/>
                <w:szCs w:val="21"/>
              </w:rPr>
            </w:pPr>
            <w:r>
              <w:rPr>
                <w:rFonts w:ascii="方正黑体_GBK" w:eastAsia="方正黑体_GBK" w:hAnsi="Times New Roman" w:cs="Times New Roman" w:hint="eastAsia"/>
                <w:color w:val="auto"/>
                <w:kern w:val="2"/>
                <w:sz w:val="21"/>
                <w:szCs w:val="21"/>
              </w:rPr>
              <w:t>服务项目</w:t>
            </w:r>
          </w:p>
        </w:tc>
        <w:tc>
          <w:tcPr>
            <w:tcW w:w="6195"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方正黑体_GBK" w:eastAsia="方正黑体_GBK" w:hAnsi="Times New Roman" w:cs="Times New Roman" w:hint="eastAsia"/>
                <w:color w:val="auto"/>
                <w:kern w:val="2"/>
                <w:sz w:val="21"/>
                <w:szCs w:val="21"/>
              </w:rPr>
            </w:pPr>
            <w:r>
              <w:rPr>
                <w:rFonts w:ascii="方正黑体_GBK" w:eastAsia="方正黑体_GBK" w:hAnsi="Times New Roman" w:cs="Times New Roman" w:hint="eastAsia"/>
                <w:color w:val="auto"/>
                <w:kern w:val="2"/>
                <w:sz w:val="21"/>
                <w:szCs w:val="21"/>
              </w:rPr>
              <w:t>服务内容</w:t>
            </w:r>
          </w:p>
        </w:tc>
        <w:tc>
          <w:tcPr>
            <w:tcW w:w="2310"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方正黑体_GBK" w:eastAsia="方正黑体_GBK" w:hAnsi="Times New Roman" w:cs="Times New Roman" w:hint="eastAsia"/>
                <w:color w:val="auto"/>
                <w:kern w:val="2"/>
                <w:sz w:val="21"/>
                <w:szCs w:val="21"/>
              </w:rPr>
            </w:pPr>
            <w:r>
              <w:rPr>
                <w:rFonts w:ascii="方正黑体_GBK" w:eastAsia="方正黑体_GBK" w:hAnsi="Times New Roman" w:cs="Times New Roman" w:hint="eastAsia"/>
                <w:color w:val="auto"/>
                <w:kern w:val="2"/>
                <w:sz w:val="21"/>
                <w:szCs w:val="21"/>
              </w:rPr>
              <w:t>责任部门</w:t>
            </w:r>
          </w:p>
        </w:tc>
      </w:tr>
      <w:tr w:rsidR="00146928" w:rsidTr="0024672F">
        <w:trPr>
          <w:cantSplit/>
          <w:trHeight w:val="1493"/>
          <w:jc w:val="center"/>
        </w:trPr>
        <w:tc>
          <w:tcPr>
            <w:tcW w:w="589" w:type="dxa"/>
            <w:vMerge w:val="restart"/>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b/>
                <w:bCs/>
                <w:color w:val="auto"/>
                <w:kern w:val="2"/>
                <w:sz w:val="21"/>
                <w:szCs w:val="21"/>
              </w:rPr>
              <w:t>幼有所育</w:t>
            </w: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1</w:t>
            </w:r>
          </w:p>
        </w:tc>
        <w:tc>
          <w:tcPr>
            <w:tcW w:w="1932"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0</w:t>
            </w:r>
            <w:r>
              <w:rPr>
                <w:rFonts w:ascii="Times New Roman" w:eastAsia="方正仿宋_GBK" w:hAnsi="Times New Roman" w:cs="Times New Roman" w:hint="eastAsia"/>
                <w:color w:val="auto"/>
                <w:kern w:val="2"/>
                <w:sz w:val="21"/>
                <w:szCs w:val="21"/>
                <w:lang w:eastAsia="zh-CN"/>
              </w:rPr>
              <w:t>～</w:t>
            </w:r>
            <w:r>
              <w:rPr>
                <w:rFonts w:ascii="Times New Roman" w:eastAsia="方正仿宋_GBK" w:hAnsi="Times New Roman" w:cs="Times New Roman" w:hint="eastAsia"/>
                <w:color w:val="auto"/>
                <w:kern w:val="2"/>
                <w:sz w:val="21"/>
                <w:szCs w:val="21"/>
              </w:rPr>
              <w:t>6</w:t>
            </w:r>
            <w:r>
              <w:rPr>
                <w:rFonts w:ascii="Times New Roman" w:eastAsia="方正仿宋_GBK" w:hAnsi="Times New Roman" w:cs="Times New Roman" w:hint="eastAsia"/>
                <w:color w:val="auto"/>
                <w:kern w:val="2"/>
                <w:sz w:val="21"/>
                <w:szCs w:val="21"/>
              </w:rPr>
              <w:t>岁流动儿童</w:t>
            </w: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健康和托育（</w:t>
            </w:r>
            <w:r>
              <w:rPr>
                <w:rFonts w:ascii="Times New Roman" w:eastAsia="方正仿宋_GBK" w:hAnsi="Times New Roman" w:cs="Times New Roman" w:hint="eastAsia"/>
                <w:color w:val="auto"/>
                <w:kern w:val="2"/>
                <w:sz w:val="21"/>
                <w:szCs w:val="21"/>
                <w:lang w:eastAsia="zh-CN"/>
              </w:rPr>
              <w:t>3</w:t>
            </w:r>
            <w:r>
              <w:rPr>
                <w:rFonts w:ascii="Times New Roman" w:eastAsia="方正仿宋_GBK" w:hAnsi="Times New Roman" w:cs="Times New Roman" w:hint="eastAsia"/>
                <w:color w:val="auto"/>
                <w:kern w:val="2"/>
                <w:sz w:val="21"/>
                <w:szCs w:val="21"/>
                <w:lang w:eastAsia="zh-CN"/>
              </w:rPr>
              <w:t>岁以下）服务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按照国家和自治区基本公共卫生服务规范提供健康管理服务；</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按照国家和自治区免疫规划疫苗免疫程序提供接种服务；有条件的地方就近提供托育服务。</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自治区卫生健康委、</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自治区疾控局</w:t>
            </w:r>
          </w:p>
        </w:tc>
      </w:tr>
      <w:tr w:rsidR="00146928" w:rsidTr="0024672F">
        <w:trPr>
          <w:cantSplit/>
          <w:trHeight w:val="934"/>
          <w:jc w:val="center"/>
        </w:trPr>
        <w:tc>
          <w:tcPr>
            <w:tcW w:w="589" w:type="dxa"/>
            <w:vMerge/>
            <w:tcBorders>
              <w:top w:val="single" w:sz="4" w:space="0" w:color="auto"/>
              <w:left w:val="single" w:sz="4" w:space="0" w:color="auto"/>
              <w:bottom w:val="single" w:sz="4" w:space="0" w:color="auto"/>
              <w:right w:val="single" w:sz="4" w:space="0" w:color="auto"/>
            </w:tcBorders>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2</w:t>
            </w:r>
          </w:p>
        </w:tc>
        <w:tc>
          <w:tcPr>
            <w:tcW w:w="1932"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3</w:t>
            </w:r>
            <w:r>
              <w:rPr>
                <w:rFonts w:ascii="Times New Roman" w:eastAsia="方正仿宋_GBK" w:hAnsi="Times New Roman" w:cs="Times New Roman" w:hint="eastAsia"/>
                <w:color w:val="auto"/>
                <w:kern w:val="2"/>
                <w:sz w:val="21"/>
                <w:szCs w:val="21"/>
                <w:lang w:eastAsia="zh-CN"/>
              </w:rPr>
              <w:t>～</w:t>
            </w:r>
            <w:r>
              <w:rPr>
                <w:rFonts w:ascii="Times New Roman" w:eastAsia="方正仿宋_GBK" w:hAnsi="Times New Roman" w:cs="Times New Roman" w:hint="eastAsia"/>
                <w:color w:val="auto"/>
                <w:kern w:val="2"/>
                <w:sz w:val="21"/>
                <w:szCs w:val="21"/>
              </w:rPr>
              <w:t>6</w:t>
            </w:r>
            <w:r>
              <w:rPr>
                <w:rFonts w:ascii="Times New Roman" w:eastAsia="方正仿宋_GBK" w:hAnsi="Times New Roman" w:cs="Times New Roman" w:hint="eastAsia"/>
                <w:color w:val="auto"/>
                <w:kern w:val="2"/>
                <w:sz w:val="21"/>
                <w:szCs w:val="21"/>
              </w:rPr>
              <w:t>岁流动儿童</w:t>
            </w: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学前教育服务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符合条件的就近在普惠性幼儿园入园；</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资助家庭经济困难的儿童接受普惠性学前教育。</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教育</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1465"/>
          <w:jc w:val="center"/>
        </w:trPr>
        <w:tc>
          <w:tcPr>
            <w:tcW w:w="589" w:type="dxa"/>
            <w:vMerge w:val="restart"/>
            <w:tcBorders>
              <w:top w:val="single" w:sz="4" w:space="0" w:color="auto"/>
              <w:left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color w:val="auto"/>
                <w:kern w:val="2"/>
                <w:sz w:val="21"/>
                <w:szCs w:val="21"/>
              </w:rPr>
            </w:pPr>
            <w:r>
              <w:rPr>
                <w:rFonts w:ascii="Times New Roman" w:eastAsia="方正仿宋_GBK" w:hAnsi="Times New Roman" w:cs="Times New Roman" w:hint="eastAsia"/>
                <w:b/>
                <w:bCs/>
                <w:color w:val="auto"/>
                <w:kern w:val="2"/>
                <w:sz w:val="21"/>
                <w:szCs w:val="21"/>
              </w:rPr>
              <w:t>学有所教</w:t>
            </w:r>
          </w:p>
          <w:p w:rsidR="00146928" w:rsidRDefault="00146928" w:rsidP="0024672F">
            <w:pPr>
              <w:pStyle w:val="TableText"/>
              <w:widowControl w:val="0"/>
              <w:overflowPunct w:val="0"/>
              <w:spacing w:line="320" w:lineRule="exact"/>
              <w:ind w:rightChars="30" w:right="63"/>
              <w:rPr>
                <w:rFonts w:ascii="Times New Roman" w:eastAsia="方正仿宋_GBK" w:hAnsi="Times New Roman" w:cs="Times New Roman" w:hint="eastAsia"/>
                <w:color w:val="auto"/>
                <w:kern w:val="2"/>
                <w:sz w:val="21"/>
                <w:szCs w:val="21"/>
                <w:lang w:eastAsia="zh-CN"/>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3</w:t>
            </w:r>
          </w:p>
        </w:tc>
        <w:tc>
          <w:tcPr>
            <w:tcW w:w="1932"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义务教育阶段流动儿童</w:t>
            </w: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义务教育服务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保障流动儿童接受义务教育，免除学杂费，免费提供教科书；</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以公办学校为主保障就近入学；</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3.</w:t>
            </w:r>
            <w:r>
              <w:rPr>
                <w:rFonts w:ascii="Times New Roman" w:eastAsia="方正仿宋_GBK" w:hAnsi="Times New Roman" w:cs="Times New Roman" w:hint="eastAsia"/>
                <w:color w:val="auto"/>
                <w:kern w:val="2"/>
                <w:sz w:val="21"/>
                <w:szCs w:val="21"/>
                <w:lang w:eastAsia="zh-CN"/>
              </w:rPr>
              <w:t>为家庭经济困难流动儿童提供生活补助；</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4.</w:t>
            </w:r>
            <w:r>
              <w:rPr>
                <w:rFonts w:ascii="Times New Roman" w:eastAsia="方正仿宋_GBK" w:hAnsi="Times New Roman" w:cs="Times New Roman" w:hint="eastAsia"/>
                <w:color w:val="auto"/>
                <w:kern w:val="2"/>
                <w:sz w:val="21"/>
                <w:szCs w:val="21"/>
                <w:lang w:eastAsia="zh-CN"/>
              </w:rPr>
              <w:t>符合条件的在流入地参加中考。</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教育</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1479"/>
          <w:jc w:val="center"/>
        </w:trPr>
        <w:tc>
          <w:tcPr>
            <w:tcW w:w="589" w:type="dxa"/>
            <w:vMerge/>
            <w:tcBorders>
              <w:left w:val="single" w:sz="4" w:space="0" w:color="auto"/>
              <w:right w:val="single" w:sz="4" w:space="0" w:color="auto"/>
            </w:tcBorders>
            <w:vAlign w:val="center"/>
          </w:tcPr>
          <w:p w:rsidR="00146928" w:rsidRDefault="00146928" w:rsidP="0024672F">
            <w:pPr>
              <w:pStyle w:val="TableText"/>
              <w:widowControl w:val="0"/>
              <w:overflowPunct w:val="0"/>
              <w:spacing w:line="320" w:lineRule="exact"/>
              <w:ind w:leftChars="30" w:left="63" w:rightChars="30" w:right="63"/>
              <w:jc w:val="center"/>
              <w:rPr>
                <w:rFonts w:ascii="Times New Roman" w:eastAsia="方正仿宋_GBK" w:hAnsi="Times New Roman" w:hint="eastAsia"/>
                <w:kern w:val="2"/>
                <w:sz w:val="21"/>
                <w:szCs w:val="21"/>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4</w:t>
            </w:r>
          </w:p>
        </w:tc>
        <w:tc>
          <w:tcPr>
            <w:tcW w:w="1932"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普通高中教育阶段流动儿童</w:t>
            </w: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普通高中教育服务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允许符合条件的流动儿童在流入地普通高中就读并在当地参加高考；</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为普通高中在校生中的家庭经济困难学生提供国家助学金；</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3.</w:t>
            </w:r>
            <w:r>
              <w:rPr>
                <w:rFonts w:ascii="Times New Roman" w:eastAsia="方正仿宋_GBK" w:hAnsi="Times New Roman" w:cs="Times New Roman" w:hint="eastAsia"/>
                <w:color w:val="auto"/>
                <w:kern w:val="2"/>
                <w:sz w:val="21"/>
                <w:szCs w:val="21"/>
                <w:lang w:eastAsia="zh-CN"/>
              </w:rPr>
              <w:t>免除符合条件的普通高中家庭经济困难学生学杂费。</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教育</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919"/>
          <w:jc w:val="center"/>
        </w:trPr>
        <w:tc>
          <w:tcPr>
            <w:tcW w:w="589" w:type="dxa"/>
            <w:vMerge/>
            <w:tcBorders>
              <w:left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p>
        </w:tc>
        <w:tc>
          <w:tcPr>
            <w:tcW w:w="588" w:type="dxa"/>
            <w:tcBorders>
              <w:top w:val="single" w:sz="4" w:space="0" w:color="auto"/>
              <w:lef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5</w:t>
            </w:r>
          </w:p>
        </w:tc>
        <w:tc>
          <w:tcPr>
            <w:tcW w:w="1932" w:type="dxa"/>
            <w:tcBorders>
              <w:top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中等职业教育阶段流动儿童</w:t>
            </w:r>
          </w:p>
        </w:tc>
        <w:tc>
          <w:tcPr>
            <w:tcW w:w="1540" w:type="dxa"/>
            <w:tcBorders>
              <w:top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中等职业教育</w:t>
            </w:r>
            <w:r>
              <w:rPr>
                <w:rFonts w:ascii="Times New Roman" w:eastAsia="方正仿宋_GBK" w:hAnsi="Times New Roman" w:cs="Times New Roman" w:hint="eastAsia"/>
                <w:color w:val="auto"/>
                <w:kern w:val="2"/>
                <w:sz w:val="21"/>
                <w:szCs w:val="21"/>
                <w:lang w:eastAsia="zh-CN"/>
              </w:rPr>
              <w:t xml:space="preserve"> </w:t>
            </w:r>
            <w:r>
              <w:rPr>
                <w:rFonts w:ascii="Times New Roman" w:eastAsia="方正仿宋_GBK" w:hAnsi="Times New Roman" w:cs="Times New Roman" w:hint="eastAsia"/>
                <w:color w:val="auto"/>
                <w:kern w:val="2"/>
                <w:sz w:val="21"/>
                <w:szCs w:val="21"/>
                <w:lang w:eastAsia="zh-CN"/>
              </w:rPr>
              <w:t>助学服务</w:t>
            </w:r>
          </w:p>
        </w:tc>
        <w:tc>
          <w:tcPr>
            <w:tcW w:w="6195" w:type="dxa"/>
            <w:tcBorders>
              <w:top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为符合条件的中等职业教育在校生提供国家助学金；</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免除符合条件的中等职业教育在校生学费。</w:t>
            </w:r>
          </w:p>
        </w:tc>
        <w:tc>
          <w:tcPr>
            <w:tcW w:w="2310" w:type="dxa"/>
            <w:tcBorders>
              <w:top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自治区教育厅、自治区人力资源社会保障厅</w:t>
            </w:r>
          </w:p>
        </w:tc>
      </w:tr>
      <w:tr w:rsidR="00146928" w:rsidTr="0024672F">
        <w:trPr>
          <w:cantSplit/>
          <w:trHeight w:val="454"/>
          <w:jc w:val="center"/>
        </w:trPr>
        <w:tc>
          <w:tcPr>
            <w:tcW w:w="589" w:type="dxa"/>
            <w:vMerge w:val="restart"/>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b/>
                <w:bCs/>
                <w:color w:val="auto"/>
                <w:kern w:val="2"/>
                <w:sz w:val="21"/>
                <w:szCs w:val="21"/>
              </w:rPr>
              <w:t>病有所医</w:t>
            </w: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6</w:t>
            </w:r>
          </w:p>
        </w:tc>
        <w:tc>
          <w:tcPr>
            <w:tcW w:w="1932" w:type="dxa"/>
            <w:vMerge w:val="restart"/>
            <w:tcBorders>
              <w:bottom w:val="nil"/>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流动儿童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卫生健康服务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提供家庭医生签约服务、基本医疗服务、基本公共卫生服务。</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卫生健康委</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7</w:t>
            </w:r>
          </w:p>
        </w:tc>
        <w:tc>
          <w:tcPr>
            <w:tcW w:w="1932" w:type="dxa"/>
            <w:vMerge/>
            <w:tcBorders>
              <w:top w:val="nil"/>
            </w:tcBorders>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医疗保障服务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取消户籍地参保限制，参保人可在户籍地或凭居住证在居住地参加城乡居民基本医疗保险；</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在广西参加城乡居民基本医疗保险的儿童，在自治区内异地就医发生的医疗费用“一站式”直接结算，无需办理异地就医备案手续，按参保地政策享受医保待遇。</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医保局</w:t>
            </w:r>
          </w:p>
        </w:tc>
      </w:tr>
      <w:tr w:rsidR="00146928" w:rsidTr="0024672F">
        <w:trPr>
          <w:cantSplit/>
          <w:trHeight w:val="1157"/>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8</w:t>
            </w:r>
          </w:p>
        </w:tc>
        <w:tc>
          <w:tcPr>
            <w:tcW w:w="1932"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流动儿童中诊断明确、在家居住的严重精神障碍患者</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健康管理服务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按照国家和自治区基本公共卫生服务规范提供管理服务，提供精神障碍社区康复服务。</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自治区卫生健康委、</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自治区民政厅</w:t>
            </w:r>
          </w:p>
        </w:tc>
      </w:tr>
      <w:tr w:rsidR="00146928" w:rsidTr="0024672F">
        <w:trPr>
          <w:cantSplit/>
          <w:trHeight w:val="1451"/>
          <w:jc w:val="center"/>
        </w:trPr>
        <w:tc>
          <w:tcPr>
            <w:tcW w:w="589"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b/>
                <w:bCs/>
                <w:color w:val="auto"/>
                <w:kern w:val="2"/>
                <w:sz w:val="21"/>
                <w:szCs w:val="21"/>
              </w:rPr>
              <w:t>住有所居</w:t>
            </w: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9</w:t>
            </w:r>
          </w:p>
        </w:tc>
        <w:tc>
          <w:tcPr>
            <w:tcW w:w="1932"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家庭住房困难的流动儿童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住房保障服务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符合条件的低保、低收入流动儿童家庭申请公共租赁住房的，可以实物配租为主，以租赁补贴为辅，给予住房保障；</w:t>
            </w:r>
          </w:p>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r>
              <w:rPr>
                <w:rFonts w:ascii="Times New Roman" w:eastAsia="方正仿宋_GBK" w:hAnsi="Times New Roman" w:hint="eastAsia"/>
                <w:snapToGrid w:val="0"/>
                <w:szCs w:val="21"/>
              </w:rPr>
              <w:t>2.</w:t>
            </w:r>
            <w:r>
              <w:rPr>
                <w:rFonts w:ascii="Times New Roman" w:eastAsia="方正仿宋_GBK" w:hAnsi="Times New Roman" w:hint="eastAsia"/>
                <w:snapToGrid w:val="0"/>
                <w:szCs w:val="21"/>
              </w:rPr>
              <w:t>符合条件的中等偏下收入流动儿童家庭申请公共租赁住房的，可以租赁补贴为主，以实物配租为辅，给予住房保障。</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自治区住房城乡建设厅</w:t>
            </w:r>
          </w:p>
        </w:tc>
      </w:tr>
      <w:tr w:rsidR="00146928" w:rsidTr="0024672F">
        <w:trPr>
          <w:cantSplit/>
          <w:trHeight w:val="1451"/>
          <w:jc w:val="center"/>
        </w:trPr>
        <w:tc>
          <w:tcPr>
            <w:tcW w:w="589" w:type="dxa"/>
            <w:vMerge w:val="restart"/>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b/>
                <w:bCs/>
                <w:color w:val="auto"/>
                <w:kern w:val="2"/>
                <w:sz w:val="21"/>
                <w:szCs w:val="21"/>
              </w:rPr>
              <w:t>弱有所扶</w:t>
            </w: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0</w:t>
            </w:r>
          </w:p>
        </w:tc>
        <w:tc>
          <w:tcPr>
            <w:tcW w:w="1932"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流动儿童中的孤儿、艾滋病病毒感染儿童、事实无人抚养儿童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基本生活保障服务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在认定相关情形时提供“跨省通办”服务，协助流动儿童向户籍地申领基本生活费或生活补贴。</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民政</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1</w:t>
            </w:r>
          </w:p>
        </w:tc>
        <w:tc>
          <w:tcPr>
            <w:tcW w:w="1932" w:type="dxa"/>
            <w:vMerge w:val="restart"/>
            <w:tcBorders>
              <w:bottom w:val="nil"/>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流动儿童中的残疾儿童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残疾儿童康复救助及残疾人两项补贴</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为符合条件的残疾流动儿童发放残疾人证，办理残疾人两项补贴；</w:t>
            </w:r>
          </w:p>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r>
              <w:rPr>
                <w:rFonts w:ascii="Times New Roman" w:eastAsia="方正仿宋_GBK" w:hAnsi="Times New Roman" w:hint="eastAsia"/>
                <w:snapToGrid w:val="0"/>
                <w:szCs w:val="21"/>
              </w:rPr>
              <w:t>2.</w:t>
            </w:r>
            <w:r>
              <w:rPr>
                <w:rFonts w:ascii="Times New Roman" w:eastAsia="方正仿宋_GBK" w:hAnsi="Times New Roman" w:hint="eastAsia"/>
                <w:snapToGrid w:val="0"/>
                <w:szCs w:val="21"/>
              </w:rPr>
              <w:t>对具有我区户籍或持有我区居住证的流动儿童中的残疾儿童群体，就地受理残疾儿童康复救助申请，提供相关服务。</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自治区民政厅、</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自治区残联</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2</w:t>
            </w:r>
          </w:p>
        </w:tc>
        <w:tc>
          <w:tcPr>
            <w:tcW w:w="1932" w:type="dxa"/>
            <w:vMerge/>
            <w:tcBorders>
              <w:top w:val="nil"/>
            </w:tcBorders>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残疾儿童教育服务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对残疾儿童普惠性学前教育予以资助；</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为家庭经济困难的残疾学生提供包括义务教育、高中阶段教育在内的</w:t>
            </w:r>
            <w:r>
              <w:rPr>
                <w:rFonts w:ascii="Times New Roman" w:eastAsia="方正仿宋_GBK" w:hAnsi="Times New Roman" w:cs="Times New Roman" w:hint="eastAsia"/>
                <w:color w:val="auto"/>
                <w:kern w:val="2"/>
                <w:sz w:val="21"/>
                <w:szCs w:val="21"/>
                <w:lang w:eastAsia="zh-CN"/>
              </w:rPr>
              <w:t>12</w:t>
            </w:r>
            <w:r>
              <w:rPr>
                <w:rFonts w:ascii="Times New Roman" w:eastAsia="方正仿宋_GBK" w:hAnsi="Times New Roman" w:cs="Times New Roman" w:hint="eastAsia"/>
                <w:color w:val="auto"/>
                <w:kern w:val="2"/>
                <w:sz w:val="21"/>
                <w:szCs w:val="21"/>
                <w:lang w:eastAsia="zh-CN"/>
              </w:rPr>
              <w:t>年免费教育；</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3.</w:t>
            </w:r>
            <w:r>
              <w:rPr>
                <w:rFonts w:ascii="Times New Roman" w:eastAsia="方正仿宋_GBK" w:hAnsi="Times New Roman" w:cs="Times New Roman" w:hint="eastAsia"/>
                <w:color w:val="auto"/>
                <w:kern w:val="2"/>
                <w:sz w:val="21"/>
                <w:szCs w:val="21"/>
                <w:lang w:eastAsia="zh-CN"/>
              </w:rPr>
              <w:t>对残疾学生特殊学习用品、教育训练、交通费等予以补助。</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自治区教育厅、</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自治区残联</w:t>
            </w:r>
          </w:p>
        </w:tc>
      </w:tr>
      <w:tr w:rsidR="00146928" w:rsidTr="0024672F">
        <w:trPr>
          <w:cantSplit/>
          <w:trHeight w:val="454"/>
          <w:jc w:val="center"/>
        </w:trPr>
        <w:tc>
          <w:tcPr>
            <w:tcW w:w="589" w:type="dxa"/>
            <w:vMerge w:val="restart"/>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r>
              <w:rPr>
                <w:rFonts w:ascii="Times New Roman" w:eastAsia="方正仿宋_GBK" w:hAnsi="Times New Roman" w:hint="eastAsia"/>
                <w:b/>
                <w:bCs/>
                <w:snapToGrid w:val="0"/>
                <w:szCs w:val="21"/>
              </w:rPr>
              <w:t>弱有所扶</w:t>
            </w: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3</w:t>
            </w:r>
          </w:p>
        </w:tc>
        <w:tc>
          <w:tcPr>
            <w:tcW w:w="1932"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符合最低生活保障条件的流动儿童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最低生活保障服务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将符合条件的流动儿童家庭纳入最低生活保障范围；</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流动儿童申请最低生活保障的，可以向经常居住地的乡镇人民政府、街道办事处提出；</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3.</w:t>
            </w:r>
            <w:r>
              <w:rPr>
                <w:rFonts w:ascii="Times New Roman" w:eastAsia="方正仿宋_GBK" w:hAnsi="Times New Roman" w:cs="Times New Roman" w:hint="eastAsia"/>
                <w:color w:val="auto"/>
                <w:kern w:val="2"/>
                <w:sz w:val="21"/>
                <w:szCs w:val="21"/>
                <w:lang w:eastAsia="zh-CN"/>
              </w:rPr>
              <w:t>对获得最低生活保障金后生活仍有困难的儿童采取必要措施给予生活保障。</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民政</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4</w:t>
            </w:r>
          </w:p>
        </w:tc>
        <w:tc>
          <w:tcPr>
            <w:tcW w:w="1932"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符合户籍地特困救助供养条件的流动儿童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特困人员救助供养服务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提供基本生活条件，对生活不能自理的给予照料；</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提供疾病治疗服务。</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民政</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752"/>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5</w:t>
            </w:r>
          </w:p>
        </w:tc>
        <w:tc>
          <w:tcPr>
            <w:tcW w:w="1932"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符合本地临时救助情形的流动儿童</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临时救助服务</w:t>
            </w:r>
          </w:p>
        </w:tc>
        <w:tc>
          <w:tcPr>
            <w:tcW w:w="6195"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在急难发生地按照相关规定发放临时救助金和有关物资；</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提供临时生活照料和转介服务。</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lang w:eastAsia="zh-CN"/>
              </w:rPr>
              <w:t>自治区</w:t>
            </w:r>
            <w:r>
              <w:rPr>
                <w:rFonts w:ascii="Times New Roman" w:eastAsia="方正仿宋_GBK" w:hAnsi="Times New Roman" w:cs="Times New Roman" w:hint="eastAsia"/>
                <w:color w:val="auto"/>
                <w:kern w:val="2"/>
                <w:sz w:val="21"/>
                <w:szCs w:val="21"/>
              </w:rPr>
              <w:t>民政</w:t>
            </w:r>
            <w:r>
              <w:rPr>
                <w:rFonts w:ascii="Times New Roman" w:eastAsia="方正仿宋_GBK" w:hAnsi="Times New Roman" w:cs="Times New Roman" w:hint="eastAsia"/>
                <w:color w:val="auto"/>
                <w:kern w:val="2"/>
                <w:sz w:val="21"/>
                <w:szCs w:val="21"/>
                <w:lang w:eastAsia="zh-CN"/>
              </w:rPr>
              <w:t>厅</w:t>
            </w:r>
          </w:p>
        </w:tc>
      </w:tr>
      <w:tr w:rsidR="00146928" w:rsidTr="0024672F">
        <w:trPr>
          <w:cantSplit/>
          <w:trHeight w:val="454"/>
          <w:jc w:val="center"/>
        </w:trPr>
        <w:tc>
          <w:tcPr>
            <w:tcW w:w="589" w:type="dxa"/>
            <w:vMerge w:val="restart"/>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b/>
                <w:bCs/>
                <w:color w:val="auto"/>
                <w:kern w:val="2"/>
                <w:sz w:val="21"/>
                <w:szCs w:val="21"/>
              </w:rPr>
              <w:t>发展保障</w:t>
            </w:r>
          </w:p>
        </w:tc>
        <w:tc>
          <w:tcPr>
            <w:tcW w:w="588"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16</w:t>
            </w:r>
          </w:p>
        </w:tc>
        <w:tc>
          <w:tcPr>
            <w:tcW w:w="1932" w:type="dxa"/>
            <w:vMerge w:val="restart"/>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流动儿童父母</w:t>
            </w:r>
          </w:p>
        </w:tc>
        <w:tc>
          <w:tcPr>
            <w:tcW w:w="154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技能培训</w:t>
            </w:r>
          </w:p>
        </w:tc>
        <w:tc>
          <w:tcPr>
            <w:tcW w:w="6195" w:type="dxa"/>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r>
              <w:rPr>
                <w:rFonts w:ascii="Times New Roman" w:eastAsia="方正仿宋_GBK" w:hAnsi="Times New Roman" w:hint="eastAsia"/>
                <w:snapToGrid w:val="0"/>
                <w:szCs w:val="21"/>
              </w:rPr>
              <w:t>根据就业意愿，推荐就业技能培训项目，组织开展技能培训并按规定落实培训补贴。</w:t>
            </w:r>
          </w:p>
        </w:tc>
        <w:tc>
          <w:tcPr>
            <w:tcW w:w="2310" w:type="dxa"/>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自治区人力资源社会</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保障厅</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17</w:t>
            </w:r>
          </w:p>
        </w:tc>
        <w:tc>
          <w:tcPr>
            <w:tcW w:w="1932" w:type="dxa"/>
            <w:vMerge/>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p>
        </w:tc>
        <w:tc>
          <w:tcPr>
            <w:tcW w:w="1540"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求职服务</w:t>
            </w:r>
          </w:p>
        </w:tc>
        <w:tc>
          <w:tcPr>
            <w:tcW w:w="6195" w:type="dxa"/>
            <w:tcBorders>
              <w:bottom w:val="single" w:sz="4" w:space="0" w:color="auto"/>
            </w:tcBorders>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r>
              <w:rPr>
                <w:rFonts w:ascii="Times New Roman" w:eastAsia="方正仿宋_GBK" w:hAnsi="Times New Roman" w:hint="eastAsia"/>
                <w:snapToGrid w:val="0"/>
                <w:szCs w:val="21"/>
              </w:rPr>
              <w:t>引导流动儿童父母积极参加各类线上线下招聘服务活动，为流动儿童父母提供政策咨询、职业介绍、职业培训、创业指导等服务。</w:t>
            </w:r>
          </w:p>
        </w:tc>
        <w:tc>
          <w:tcPr>
            <w:tcW w:w="2310" w:type="dxa"/>
            <w:tcBorders>
              <w:bottom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自治区人力资源社会</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保障厅</w:t>
            </w:r>
          </w:p>
        </w:tc>
      </w:tr>
      <w:tr w:rsidR="00146928" w:rsidTr="0024672F">
        <w:trPr>
          <w:cantSplit/>
          <w:trHeight w:val="454"/>
          <w:jc w:val="center"/>
        </w:trPr>
        <w:tc>
          <w:tcPr>
            <w:tcW w:w="589" w:type="dxa"/>
            <w:vMerge/>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rPr>
              <w:t>1</w:t>
            </w:r>
            <w:r>
              <w:rPr>
                <w:rFonts w:ascii="Times New Roman" w:eastAsia="方正仿宋_GBK" w:hAnsi="Times New Roman" w:cs="Times New Roman" w:hint="eastAsia"/>
                <w:color w:val="auto"/>
                <w:kern w:val="2"/>
                <w:sz w:val="21"/>
                <w:szCs w:val="21"/>
                <w:lang w:eastAsia="zh-CN"/>
              </w:rPr>
              <w:t>8</w:t>
            </w:r>
          </w:p>
        </w:tc>
        <w:tc>
          <w:tcPr>
            <w:tcW w:w="1932" w:type="dxa"/>
            <w:vMerge w:val="restart"/>
            <w:tcBorders>
              <w:top w:val="single" w:sz="4" w:space="0" w:color="auto"/>
              <w:left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流动儿童</w:t>
            </w: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家庭教育指导服务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为流动儿童父母或者其他监护人提供家庭教育指导服务。</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自治区高级人民法院、自治区人民检察院、</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自治区教育厅、自治区公安厅、自治区妇联</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19</w:t>
            </w:r>
          </w:p>
        </w:tc>
        <w:tc>
          <w:tcPr>
            <w:tcW w:w="1932" w:type="dxa"/>
            <w:vMerge/>
            <w:tcBorders>
              <w:left w:val="single" w:sz="4" w:space="0" w:color="auto"/>
              <w:right w:val="single" w:sz="4" w:space="0" w:color="auto"/>
            </w:tcBorders>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心理健康服务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为有需要的流动儿童提供心理健康筛查，符合条件的纳入精神障碍社区康复服务范围。</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自治区民政厅、自治区</w:t>
            </w:r>
            <w:r>
              <w:rPr>
                <w:rFonts w:ascii="Times New Roman" w:eastAsia="方正仿宋_GBK" w:hAnsi="Times New Roman" w:cs="Times New Roman" w:hint="eastAsia"/>
                <w:color w:val="auto"/>
                <w:spacing w:val="10"/>
                <w:kern w:val="2"/>
                <w:sz w:val="21"/>
                <w:szCs w:val="21"/>
                <w:lang w:eastAsia="zh-CN"/>
              </w:rPr>
              <w:t>教育厅、自治区卫生健康委</w:t>
            </w:r>
          </w:p>
        </w:tc>
      </w:tr>
      <w:tr w:rsidR="00146928" w:rsidTr="0024672F">
        <w:trPr>
          <w:cantSplit/>
          <w:trHeight w:val="454"/>
          <w:jc w:val="center"/>
        </w:trPr>
        <w:tc>
          <w:tcPr>
            <w:tcW w:w="589" w:type="dxa"/>
            <w:vMerge/>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20</w:t>
            </w:r>
          </w:p>
        </w:tc>
        <w:tc>
          <w:tcPr>
            <w:tcW w:w="1932" w:type="dxa"/>
            <w:vMerge/>
            <w:tcBorders>
              <w:left w:val="single" w:sz="4" w:space="0" w:color="auto"/>
              <w:bottom w:val="single" w:sz="4" w:space="0" w:color="auto"/>
              <w:right w:val="single" w:sz="4" w:space="0" w:color="auto"/>
            </w:tcBorders>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心理关爱服务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为包括流动儿童在内的重点青少年群体定期开展青少年心理健康主题活动，提供心理咨询、心理测评、心理疏导等服务；</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为心理危机个案提供跟进帮扶服务，帮扶过程中发现可能患有精神障碍的对象，及时转介至当地医疗卫生机构，帮助其获得规范心理疾病、精神障碍诊疗服务。</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r>
              <w:rPr>
                <w:rFonts w:ascii="Times New Roman" w:eastAsia="方正仿宋_GBK" w:hAnsi="Times New Roman" w:hint="eastAsia"/>
                <w:snapToGrid w:val="0"/>
                <w:szCs w:val="21"/>
              </w:rPr>
              <w:t>共青团广西区委、</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自治区民政厅、自治区卫生健康委</w:t>
            </w:r>
          </w:p>
        </w:tc>
      </w:tr>
      <w:tr w:rsidR="00146928" w:rsidTr="0024672F">
        <w:trPr>
          <w:cantSplit/>
          <w:trHeight w:val="454"/>
          <w:jc w:val="center"/>
        </w:trPr>
        <w:tc>
          <w:tcPr>
            <w:tcW w:w="589" w:type="dxa"/>
            <w:vMerge w:val="restart"/>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r>
              <w:rPr>
                <w:rFonts w:ascii="Times New Roman" w:eastAsia="方正仿宋_GBK" w:hAnsi="Times New Roman" w:hint="eastAsia"/>
                <w:b/>
                <w:bCs/>
                <w:snapToGrid w:val="0"/>
                <w:szCs w:val="21"/>
              </w:rPr>
              <w:t>发展保障</w:t>
            </w: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21</w:t>
            </w:r>
          </w:p>
        </w:tc>
        <w:tc>
          <w:tcPr>
            <w:tcW w:w="1932" w:type="dxa"/>
            <w:vMerge w:val="restart"/>
            <w:tcBorders>
              <w:top w:val="single" w:sz="4" w:space="0" w:color="auto"/>
              <w:left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流动儿童</w:t>
            </w: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rPr>
            </w:pPr>
            <w:r>
              <w:rPr>
                <w:rFonts w:ascii="Times New Roman" w:eastAsia="方正仿宋_GBK" w:hAnsi="Times New Roman" w:cs="Times New Roman" w:hint="eastAsia"/>
                <w:color w:val="auto"/>
                <w:kern w:val="2"/>
                <w:sz w:val="21"/>
                <w:szCs w:val="21"/>
              </w:rPr>
              <w:t>精神文化生活服务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1.</w:t>
            </w:r>
            <w:r>
              <w:rPr>
                <w:rFonts w:ascii="Times New Roman" w:eastAsia="方正仿宋_GBK" w:hAnsi="Times New Roman" w:cs="Times New Roman" w:hint="eastAsia"/>
                <w:color w:val="auto"/>
                <w:kern w:val="2"/>
                <w:sz w:val="21"/>
                <w:szCs w:val="21"/>
                <w:lang w:eastAsia="zh-CN"/>
              </w:rPr>
              <w:t>依托各部门所属阵地，为流动儿童提供阅读指导、精神陪伴等普惠性关爱服务；</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w:t>
            </w:r>
            <w:r>
              <w:rPr>
                <w:rFonts w:ascii="Times New Roman" w:eastAsia="方正仿宋_GBK" w:hAnsi="Times New Roman" w:cs="Times New Roman" w:hint="eastAsia"/>
                <w:color w:val="auto"/>
                <w:kern w:val="2"/>
                <w:sz w:val="21"/>
                <w:szCs w:val="21"/>
                <w:lang w:eastAsia="zh-CN"/>
              </w:rPr>
              <w:t>开展寓教于乐的流动儿童文化娱乐活动；</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3.</w:t>
            </w:r>
            <w:r>
              <w:rPr>
                <w:rFonts w:ascii="Times New Roman" w:eastAsia="方正仿宋_GBK" w:hAnsi="Times New Roman" w:cs="Times New Roman" w:hint="eastAsia"/>
                <w:color w:val="auto"/>
                <w:kern w:val="2"/>
                <w:sz w:val="21"/>
                <w:szCs w:val="21"/>
                <w:lang w:eastAsia="zh-CN"/>
              </w:rPr>
              <w:t>开展寒暑期、重点节假日流动儿童关爱服务活动；</w:t>
            </w:r>
          </w:p>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4.</w:t>
            </w:r>
            <w:r>
              <w:rPr>
                <w:rFonts w:ascii="Times New Roman" w:eastAsia="方正仿宋_GBK" w:hAnsi="Times New Roman" w:cs="Times New Roman" w:hint="eastAsia"/>
                <w:color w:val="auto"/>
                <w:kern w:val="2"/>
                <w:sz w:val="21"/>
                <w:szCs w:val="21"/>
                <w:lang w:eastAsia="zh-CN"/>
              </w:rPr>
              <w:t>组织创作、传播有利于流动儿童成长的广播电视和网络视听节目。</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自治区党委网信办、</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自治区教育厅、自治区民政厅、自治区广电局、共青团广西区委、</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自治区妇联</w:t>
            </w:r>
          </w:p>
        </w:tc>
      </w:tr>
      <w:tr w:rsidR="00146928" w:rsidTr="0024672F">
        <w:trPr>
          <w:cantSplit/>
          <w:trHeight w:val="454"/>
          <w:jc w:val="center"/>
        </w:trPr>
        <w:tc>
          <w:tcPr>
            <w:tcW w:w="589" w:type="dxa"/>
            <w:vMerge/>
            <w:tcBorders>
              <w:bottom w:val="single" w:sz="4" w:space="0" w:color="auto"/>
            </w:tcBorders>
            <w:vAlign w:val="center"/>
          </w:tcPr>
          <w:p w:rsidR="00146928" w:rsidRDefault="00146928" w:rsidP="0024672F">
            <w:pPr>
              <w:overflowPunct w:val="0"/>
              <w:spacing w:line="320" w:lineRule="exact"/>
              <w:ind w:leftChars="30" w:left="63" w:rightChars="30" w:right="63"/>
              <w:jc w:val="center"/>
              <w:rPr>
                <w:rFonts w:ascii="Times New Roman" w:eastAsia="方正仿宋_GBK" w:hAnsi="Times New Roman" w:hint="eastAsia"/>
                <w:snapToGrid w:val="0"/>
                <w:szCs w:val="21"/>
              </w:rPr>
            </w:pPr>
          </w:p>
        </w:tc>
        <w:tc>
          <w:tcPr>
            <w:tcW w:w="588"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22</w:t>
            </w:r>
          </w:p>
        </w:tc>
        <w:tc>
          <w:tcPr>
            <w:tcW w:w="1932" w:type="dxa"/>
            <w:vMerge/>
            <w:tcBorders>
              <w:left w:val="single" w:sz="4" w:space="0" w:color="auto"/>
              <w:bottom w:val="single" w:sz="4" w:space="0" w:color="auto"/>
              <w:right w:val="single" w:sz="4" w:space="0" w:color="auto"/>
            </w:tcBorders>
            <w:vAlign w:val="center"/>
          </w:tcPr>
          <w:p w:rsidR="00146928" w:rsidRDefault="00146928" w:rsidP="0024672F">
            <w:pPr>
              <w:overflowPunct w:val="0"/>
              <w:spacing w:line="320" w:lineRule="exact"/>
              <w:ind w:leftChars="30" w:left="63" w:rightChars="30" w:right="63"/>
              <w:rPr>
                <w:rFonts w:ascii="Times New Roman" w:eastAsia="方正仿宋_GBK" w:hAnsi="Times New Roman" w:hint="eastAsia"/>
                <w:snapToGrid w:val="0"/>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城市融入服务</w:t>
            </w:r>
          </w:p>
        </w:tc>
        <w:tc>
          <w:tcPr>
            <w:tcW w:w="6195"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both"/>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开展流动儿童参与社区实践、研学体验等集体陪伴活动，促进流动儿童融入城市生活。</w:t>
            </w:r>
          </w:p>
        </w:tc>
        <w:tc>
          <w:tcPr>
            <w:tcW w:w="2310" w:type="dxa"/>
            <w:tcBorders>
              <w:top w:val="single" w:sz="4" w:space="0" w:color="auto"/>
              <w:left w:val="single" w:sz="4" w:space="0" w:color="auto"/>
              <w:bottom w:val="single" w:sz="4" w:space="0" w:color="auto"/>
              <w:right w:val="single" w:sz="4" w:space="0" w:color="auto"/>
            </w:tcBorders>
            <w:vAlign w:val="center"/>
          </w:tcPr>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自治区教育厅、自治区民政厅、共青团广西</w:t>
            </w:r>
          </w:p>
          <w:p w:rsidR="00146928" w:rsidRDefault="00146928" w:rsidP="0024672F">
            <w:pPr>
              <w:pStyle w:val="TableText"/>
              <w:widowControl w:val="0"/>
              <w:kinsoku/>
              <w:overflowPunct w:val="0"/>
              <w:autoSpaceDE/>
              <w:autoSpaceDN/>
              <w:spacing w:line="320" w:lineRule="exact"/>
              <w:ind w:leftChars="30" w:left="63" w:rightChars="30" w:right="63"/>
              <w:jc w:val="center"/>
              <w:rPr>
                <w:rFonts w:ascii="Times New Roman" w:eastAsia="方正仿宋_GBK" w:hAnsi="Times New Roman" w:cs="Times New Roman" w:hint="eastAsia"/>
                <w:color w:val="auto"/>
                <w:kern w:val="2"/>
                <w:sz w:val="21"/>
                <w:szCs w:val="21"/>
                <w:lang w:eastAsia="zh-CN"/>
              </w:rPr>
            </w:pPr>
            <w:r>
              <w:rPr>
                <w:rFonts w:ascii="Times New Roman" w:eastAsia="方正仿宋_GBK" w:hAnsi="Times New Roman" w:cs="Times New Roman" w:hint="eastAsia"/>
                <w:color w:val="auto"/>
                <w:kern w:val="2"/>
                <w:sz w:val="21"/>
                <w:szCs w:val="21"/>
                <w:lang w:eastAsia="zh-CN"/>
              </w:rPr>
              <w:t>区委、自治区妇联</w:t>
            </w:r>
          </w:p>
        </w:tc>
      </w:tr>
    </w:tbl>
    <w:p w:rsidR="00146928" w:rsidRDefault="00146928" w:rsidP="00146928">
      <w:pPr>
        <w:overflowPunct w:val="0"/>
        <w:adjustRightInd w:val="0"/>
        <w:snapToGrid w:val="0"/>
        <w:spacing w:line="590" w:lineRule="exact"/>
        <w:rPr>
          <w:rFonts w:ascii="Times New Roman" w:eastAsia="方正仿宋_GBK" w:hAnsi="Times New Roman" w:hint="eastAsia"/>
          <w:snapToGrid w:val="0"/>
          <w:kern w:val="0"/>
          <w:sz w:val="32"/>
          <w:szCs w:val="32"/>
        </w:rPr>
      </w:pPr>
    </w:p>
    <w:p w:rsidR="002539C7" w:rsidRDefault="002539C7">
      <w:bookmarkStart w:id="0" w:name="_GoBack"/>
      <w:bookmarkEnd w:id="0"/>
    </w:p>
    <w:sectPr w:rsidR="002539C7" w:rsidSect="001469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FC" w:rsidRDefault="00926EFC" w:rsidP="00146928">
      <w:r>
        <w:separator/>
      </w:r>
    </w:p>
  </w:endnote>
  <w:endnote w:type="continuationSeparator" w:id="0">
    <w:p w:rsidR="00926EFC" w:rsidRDefault="00926EFC" w:rsidP="001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FC" w:rsidRDefault="00926EFC" w:rsidP="00146928">
      <w:r>
        <w:separator/>
      </w:r>
    </w:p>
  </w:footnote>
  <w:footnote w:type="continuationSeparator" w:id="0">
    <w:p w:rsidR="00926EFC" w:rsidRDefault="00926EFC" w:rsidP="0014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68"/>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46928"/>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268"/>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6EFC"/>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6928"/>
    <w:rPr>
      <w:sz w:val="18"/>
      <w:szCs w:val="18"/>
    </w:rPr>
  </w:style>
  <w:style w:type="paragraph" w:styleId="a4">
    <w:name w:val="footer"/>
    <w:basedOn w:val="a"/>
    <w:link w:val="Char0"/>
    <w:uiPriority w:val="99"/>
    <w:unhideWhenUsed/>
    <w:rsid w:val="00146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6928"/>
    <w:rPr>
      <w:sz w:val="18"/>
      <w:szCs w:val="18"/>
    </w:rPr>
  </w:style>
  <w:style w:type="paragraph" w:styleId="a5">
    <w:name w:val="Body Text"/>
    <w:basedOn w:val="a"/>
    <w:link w:val="Char1"/>
    <w:semiHidden/>
    <w:qFormat/>
    <w:rsid w:val="00146928"/>
    <w:pPr>
      <w:widowControl/>
      <w:kinsoku w:val="0"/>
      <w:autoSpaceDE w:val="0"/>
      <w:autoSpaceDN w:val="0"/>
      <w:adjustRightInd w:val="0"/>
      <w:snapToGrid w:val="0"/>
      <w:jc w:val="left"/>
      <w:textAlignment w:val="baseline"/>
    </w:pPr>
    <w:rPr>
      <w:rFonts w:ascii="宋体" w:hAnsi="宋体" w:cs="宋体"/>
      <w:snapToGrid w:val="0"/>
      <w:color w:val="000000"/>
      <w:kern w:val="0"/>
      <w:sz w:val="31"/>
      <w:szCs w:val="31"/>
      <w:lang w:eastAsia="en-US"/>
    </w:rPr>
  </w:style>
  <w:style w:type="character" w:customStyle="1" w:styleId="Char1">
    <w:name w:val="正文文本 Char"/>
    <w:basedOn w:val="a0"/>
    <w:link w:val="a5"/>
    <w:semiHidden/>
    <w:rsid w:val="00146928"/>
    <w:rPr>
      <w:rFonts w:ascii="宋体" w:eastAsia="宋体" w:hAnsi="宋体" w:cs="宋体"/>
      <w:snapToGrid w:val="0"/>
      <w:color w:val="000000"/>
      <w:kern w:val="0"/>
      <w:sz w:val="31"/>
      <w:szCs w:val="31"/>
      <w:lang w:eastAsia="en-US"/>
    </w:rPr>
  </w:style>
  <w:style w:type="paragraph" w:customStyle="1" w:styleId="TableText">
    <w:name w:val="Table Text"/>
    <w:basedOn w:val="a"/>
    <w:semiHidden/>
    <w:qFormat/>
    <w:rsid w:val="00146928"/>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9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9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6928"/>
    <w:rPr>
      <w:sz w:val="18"/>
      <w:szCs w:val="18"/>
    </w:rPr>
  </w:style>
  <w:style w:type="paragraph" w:styleId="a4">
    <w:name w:val="footer"/>
    <w:basedOn w:val="a"/>
    <w:link w:val="Char0"/>
    <w:uiPriority w:val="99"/>
    <w:unhideWhenUsed/>
    <w:rsid w:val="001469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6928"/>
    <w:rPr>
      <w:sz w:val="18"/>
      <w:szCs w:val="18"/>
    </w:rPr>
  </w:style>
  <w:style w:type="paragraph" w:styleId="a5">
    <w:name w:val="Body Text"/>
    <w:basedOn w:val="a"/>
    <w:link w:val="Char1"/>
    <w:semiHidden/>
    <w:qFormat/>
    <w:rsid w:val="00146928"/>
    <w:pPr>
      <w:widowControl/>
      <w:kinsoku w:val="0"/>
      <w:autoSpaceDE w:val="0"/>
      <w:autoSpaceDN w:val="0"/>
      <w:adjustRightInd w:val="0"/>
      <w:snapToGrid w:val="0"/>
      <w:jc w:val="left"/>
      <w:textAlignment w:val="baseline"/>
    </w:pPr>
    <w:rPr>
      <w:rFonts w:ascii="宋体" w:hAnsi="宋体" w:cs="宋体"/>
      <w:snapToGrid w:val="0"/>
      <w:color w:val="000000"/>
      <w:kern w:val="0"/>
      <w:sz w:val="31"/>
      <w:szCs w:val="31"/>
      <w:lang w:eastAsia="en-US"/>
    </w:rPr>
  </w:style>
  <w:style w:type="character" w:customStyle="1" w:styleId="Char1">
    <w:name w:val="正文文本 Char"/>
    <w:basedOn w:val="a0"/>
    <w:link w:val="a5"/>
    <w:semiHidden/>
    <w:rsid w:val="00146928"/>
    <w:rPr>
      <w:rFonts w:ascii="宋体" w:eastAsia="宋体" w:hAnsi="宋体" w:cs="宋体"/>
      <w:snapToGrid w:val="0"/>
      <w:color w:val="000000"/>
      <w:kern w:val="0"/>
      <w:sz w:val="31"/>
      <w:szCs w:val="31"/>
      <w:lang w:eastAsia="en-US"/>
    </w:rPr>
  </w:style>
  <w:style w:type="paragraph" w:customStyle="1" w:styleId="TableText">
    <w:name w:val="Table Text"/>
    <w:basedOn w:val="a"/>
    <w:semiHidden/>
    <w:qFormat/>
    <w:rsid w:val="00146928"/>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2025-02-10T03:15:00Z</dcterms:created>
  <dcterms:modified xsi:type="dcterms:W3CDTF">2025-02-10T03:16:00Z</dcterms:modified>
</cp:coreProperties>
</file>